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00"/>
      </w:pPr>
      <w:r>
        <w:t xml:space="preserve"/>
      </w:r>
    </w:p>
    <w:p>
      <w:pPr>
        <w:spacing w:after="100" w:before="0"/>
        <w:jc w:val="center"/>
      </w:pPr>
      <w:r>
        <w:rPr>
          <w:rFonts w:ascii="Arial" w:cs="Arial" w:eastAsia="Arial" w:hAnsi="Arial"/>
          <w:b/>
          <w:bCs/>
          <w:color w:val="1B4F8A"/>
          <w:sz w:val="44"/>
          <w:szCs w:val="44"/>
        </w:rPr>
        <w:t xml:space="preserve">CONFIDENTIAL DEAL MEMORANDUM</w:t>
      </w:r>
    </w:p>
    <w:p>
      <w:pPr>
        <w:spacing w:after="80" w:before="0"/>
        <w:jc w:val="center"/>
      </w:pPr>
      <w:r>
        <w:rPr>
          <w:rFonts w:ascii="Arial" w:cs="Arial" w:eastAsia="Arial" w:hAnsi="Arial"/>
          <w:color w:val="595959"/>
          <w:sz w:val="28"/>
          <w:szCs w:val="28"/>
        </w:rPr>
        <w:t xml:space="preserve">Partner Buyout &amp; Leveraged Recapitalization</w:t>
      </w:r>
    </w:p>
    <w:p>
      <w:pPr>
        <w:spacing w:after="60" w:before="0"/>
        <w:jc w:val="center"/>
      </w:pPr>
      <w:r>
        <w:rPr>
          <w:rFonts w:ascii="Arial" w:cs="Arial" w:eastAsia="Arial" w:hAnsi="Arial"/>
          <w:b/>
          <w:bCs/>
          <w:color w:val="595959"/>
          <w:sz w:val="24"/>
          <w:szCs w:val="24"/>
        </w:rPr>
        <w:t xml:space="preserve">PropCo &amp; OpCo — Dual-Entity Structure</w:t>
      </w:r>
    </w:p>
    <w:p>
      <w:pPr>
        <w:spacing w:after="0" w:before="60"/>
      </w:pPr>
      <w:r>
        <w:t xml:space="preserve"/>
      </w:r>
    </w:p>
    <w:p>
      <w:pPr>
        <w:spacing w:after="40" w:before="0"/>
        <w:jc w:val="center"/>
      </w:pPr>
      <w:r>
        <w:rPr>
          <w:rFonts w:ascii="Arial" w:cs="Arial" w:eastAsia="Arial" w:hAnsi="Arial"/>
          <w:color w:val="595959"/>
          <w:sz w:val="20"/>
          <w:szCs w:val="20"/>
        </w:rPr>
        <w:t xml:space="preserve">Prepared for: Partners &amp; Advisory Team (Attorney / CPA)</w:t>
      </w:r>
    </w:p>
    <w:p>
      <w:pPr>
        <w:spacing w:after="40" w:before="0"/>
        <w:jc w:val="center"/>
      </w:pPr>
      <w:r>
        <w:rPr>
          <w:rFonts w:ascii="Arial" w:cs="Arial" w:eastAsia="Arial" w:hAnsi="Arial"/>
          <w:color w:val="595959"/>
          <w:sz w:val="20"/>
          <w:szCs w:val="20"/>
        </w:rPr>
        <w:t xml:space="preserve">April 2026</w:t>
      </w:r>
    </w:p>
    <w:p>
      <w:pPr>
        <w:spacing w:after="0" w:before="60"/>
      </w:pPr>
      <w:r>
        <w:t xml:space="preserve"/>
      </w:r>
    </w:p>
    <w:p>
      <w:pPr>
        <w:spacing w:after="60" w:before="0"/>
        <w:jc w:val="center"/>
      </w:pPr>
      <w:r>
        <w:rPr>
          <w:rFonts w:ascii="Arial" w:cs="Arial" w:eastAsia="Arial" w:hAnsi="Arial"/>
          <w:b/>
          <w:bCs/>
          <w:i/>
          <w:iCs/>
          <w:color w:val="A02020"/>
          <w:sz w:val="18"/>
          <w:szCs w:val="18"/>
        </w:rPr>
        <w:t xml:space="preserve">PRIVILEGED &amp; CONFIDENTIAL — ATTORNEY-CLIENT WORK PRODUCT</w:t>
      </w:r>
    </w:p>
    <w:p>
      <w:pPr>
        <w:spacing w:after="0" w:before="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PropCo Value</w:t>
            </w:r>
          </w:p>
        </w:tc>
        <w:tc>
          <w:tcPr>
            <w:tcW w:type="dxa" w:w="23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OpCo Value</w:t>
            </w:r>
          </w:p>
        </w:tc>
        <w:tc>
          <w:tcPr>
            <w:tcW w:type="dxa" w:w="23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Total Enterprise Value</w:t>
            </w:r>
          </w:p>
        </w:tc>
        <w:tc>
          <w:tcPr>
            <w:tcW w:type="dxa" w:w="23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Seller Note</w:t>
            </w:r>
          </w:p>
        </w:tc>
      </w:tr>
      <w:tr>
        <w:tc>
          <w:tcPr>
            <w:tcW w:type="dxa" w:w="23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$13,500,000</w:t>
            </w:r>
          </w:p>
        </w:tc>
        <w:tc>
          <w:tcPr>
            <w:tcW w:type="dxa" w:w="23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$4,000,000</w:t>
            </w:r>
          </w:p>
        </w:tc>
        <w:tc>
          <w:tcPr>
            <w:tcW w:type="dxa" w:w="23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$17,500,000</w:t>
            </w:r>
          </w:p>
        </w:tc>
        <w:tc>
          <w:tcPr>
            <w:tcW w:type="dxa" w:w="23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$2,500,000</w:t>
            </w:r>
          </w:p>
        </w:tc>
      </w:tr>
      <w:tr>
        <w:tc>
          <w:tcPr>
            <w:tcW w:type="dxa" w:w="4680"/>
            <w:gridSpan w:val="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pPr>
              <w:jc w:val="center"/>
            </w:pPr>
            <w:r>
              <w:rPr>
                <w:rFonts w:ascii="Arial" w:cs="Arial" w:eastAsia="Arial" w:hAnsi="Arial"/>
                <w:b/>
                <w:bCs/>
                <w:color w:val="27500A"/>
                <w:sz w:val="19"/>
                <w:szCs w:val="19"/>
              </w:rPr>
              <w:t xml:space="preserve">Bank: $10M @ 6.00% / 25 years</w:t>
            </w:r>
          </w:p>
        </w:tc>
        <w:tc>
          <w:tcPr>
            <w:tcW w:type="dxa" w:w="4680"/>
            <w:gridSpan w:val="2"/>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pPr>
              <w:jc w:val="center"/>
            </w:pPr>
            <w:r>
              <w:rPr>
                <w:rFonts w:ascii="Arial" w:cs="Arial" w:eastAsia="Arial" w:hAnsi="Arial"/>
                <w:b/>
                <w:bCs/>
                <w:color w:val="0C447C"/>
                <w:sz w:val="19"/>
                <w:szCs w:val="19"/>
              </w:rPr>
              <w:t xml:space="preserve">Seller Note: $2.5M @ 4.0% / 15 years</w:t>
            </w:r>
          </w:p>
        </w:tc>
      </w:tr>
    </w:tbl>
    <w:p>
      <w:pPr>
        <w:spacing w:after="0" w:before="160"/>
      </w:pPr>
      <w:r>
        <w:t xml:space="preserve"/>
      </w:r>
    </w:p>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1. Transaction Overview</w:t>
      </w:r>
    </w:p>
    <w:p>
      <w:pPr>
        <w:spacing w:after="60" w:before="60"/>
      </w:pPr>
      <w:r>
        <w:rPr>
          <w:rFonts w:ascii="Arial" w:cs="Arial" w:eastAsia="Arial" w:hAnsi="Arial"/>
          <w:color w:val="1A1A1A"/>
          <w:sz w:val="20"/>
          <w:szCs w:val="20"/>
        </w:rPr>
        <w:t xml:space="preserve">This memorandum documents the complete structure of the leveraged recapitalization by which Benito and Oscar acquire equity in two existing operating entities — PropCo and OpCo — alongside continuing partner Mario. The outgoing shareholder is fully bought out across both entities. This document is intended for review by all partners, legal counsel, and the CPA advisory team.</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1.1 Nature of Transaction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bCs/>
                <w:color w:val="0C447C"/>
                <w:sz w:val="20"/>
                <w:szCs w:val="20"/>
              </w:rPr>
              <w:t xml:space="preserve">Leveraged Recapitalization (LMR) — Dual-Entity Structure (PropCo + OpCo). No NewCo. Single closing.</w:t>
            </w:r>
          </w:p>
        </w:tc>
      </w:tr>
    </w:tbl>
    <w:p>
      <w:pPr>
        <w:spacing w:after="0" w:before="80"/>
      </w:pPr>
      <w:r>
        <w:t xml:space="preserve"/>
      </w:r>
    </w:p>
    <w:p>
      <w:pPr>
        <w:pStyle w:val="ListParagraph"/>
        <w:numPr>
          <w:ilvl w:val="0"/>
          <w:numId w:val="2"/>
        </w:numPr>
        <w:spacing w:after="40" w:before="40"/>
      </w:pPr>
      <w:r>
        <w:rPr>
          <w:rFonts w:ascii="Arial" w:cs="Arial" w:eastAsia="Arial" w:hAnsi="Arial"/>
          <w:color w:val="1A1A1A"/>
          <w:sz w:val="20"/>
          <w:szCs w:val="20"/>
        </w:rPr>
        <w:t xml:space="preserve">No new entity (NewCo) is formed. The existing PropCo and OpCo LLCs remain the vehicles.</w:t>
      </w:r>
    </w:p>
    <w:p>
      <w:pPr>
        <w:pStyle w:val="ListParagraph"/>
        <w:numPr>
          <w:ilvl w:val="0"/>
          <w:numId w:val="2"/>
        </w:numPr>
        <w:spacing w:after="40" w:before="40"/>
      </w:pPr>
      <w:r>
        <w:rPr>
          <w:rFonts w:ascii="Arial" w:cs="Arial" w:eastAsia="Arial" w:hAnsi="Arial"/>
          <w:color w:val="1A1A1A"/>
          <w:sz w:val="20"/>
          <w:szCs w:val="20"/>
        </w:rPr>
        <w:t xml:space="preserve">Mario continues as an operating partner in both entities. This is not a 100% buyout.</w:t>
      </w:r>
    </w:p>
    <w:p>
      <w:pPr>
        <w:pStyle w:val="ListParagraph"/>
        <w:numPr>
          <w:ilvl w:val="0"/>
          <w:numId w:val="2"/>
        </w:numPr>
        <w:spacing w:after="40" w:before="40"/>
      </w:pPr>
      <w:r>
        <w:rPr>
          <w:rFonts w:ascii="Arial" w:cs="Arial" w:eastAsia="Arial" w:hAnsi="Arial"/>
          <w:color w:val="1A1A1A"/>
          <w:sz w:val="20"/>
          <w:szCs w:val="20"/>
        </w:rPr>
        <w:t xml:space="preserve">Senior bank debt ($10M) and Seller Note ($2.5M) reside at the LLC level — not at a holding company.</w:t>
      </w:r>
    </w:p>
    <w:p>
      <w:pPr>
        <w:pStyle w:val="ListParagraph"/>
        <w:numPr>
          <w:ilvl w:val="0"/>
          <w:numId w:val="2"/>
        </w:numPr>
        <w:spacing w:after="40" w:before="40"/>
      </w:pPr>
      <w:r>
        <w:rPr>
          <w:rFonts w:ascii="Arial" w:cs="Arial" w:eastAsia="Arial" w:hAnsi="Arial"/>
          <w:color w:val="1A1A1A"/>
          <w:sz w:val="20"/>
          <w:szCs w:val="20"/>
        </w:rPr>
        <w:t xml:space="preserve">Benito and Oscar acquire equity by assuming proportional economic risk (debt + personal guarantees), not as compensation.</w:t>
      </w:r>
    </w:p>
    <w:p>
      <w:pPr>
        <w:pStyle w:val="ListParagraph"/>
        <w:numPr>
          <w:ilvl w:val="0"/>
          <w:numId w:val="2"/>
        </w:numPr>
        <w:spacing w:after="40" w:before="40"/>
      </w:pPr>
      <w:r>
        <w:rPr>
          <w:rFonts w:ascii="Arial" w:cs="Arial" w:eastAsia="Arial" w:hAnsi="Arial"/>
          <w:color w:val="1A1A1A"/>
          <w:sz w:val="20"/>
          <w:szCs w:val="20"/>
        </w:rPr>
        <w:t xml:space="preserve">All documents executed simultaneously at a single closing — phased implementation is expressly avoided.</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1.2 Entity Valuation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080"/>
        <w:gridCol w:w="2080"/>
        <w:gridCol w:w="2080"/>
      </w:tblGrid>
      <w:tr>
        <w:trPr>
          <w:tblHeader/>
        </w:trPr>
        <w:tc>
          <w:tcPr>
            <w:tcW w:type="dxa" w:w="31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Entity</w:t>
            </w:r>
          </w:p>
        </w:tc>
        <w:tc>
          <w:tcPr>
            <w:tcW w:type="dxa" w:w="20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Agreed Value</w:t>
            </w:r>
          </w:p>
        </w:tc>
        <w:tc>
          <w:tcPr>
            <w:tcW w:type="dxa" w:w="20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of Total</w:t>
            </w:r>
          </w:p>
        </w:tc>
        <w:tc>
          <w:tcPr>
            <w:tcW w:type="dxa" w:w="20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Nature</w:t>
            </w:r>
          </w:p>
        </w:tc>
      </w:tr>
      <w:tr>
        <w:tc>
          <w:tcPr>
            <w:tcW w:type="dxa" w:w="31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PropCo (Property Company)</w:t>
            </w:r>
          </w:p>
        </w:tc>
        <w:tc>
          <w:tcPr>
            <w:tcW w:type="dxa" w:w="20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$13,500,000</w:t>
            </w:r>
          </w:p>
        </w:tc>
        <w:tc>
          <w:tcPr>
            <w:tcW w:type="dxa" w:w="20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77.14%</w:t>
            </w:r>
          </w:p>
        </w:tc>
        <w:tc>
          <w:tcPr>
            <w:tcW w:type="dxa" w:w="20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Holds real estate / assets</w:t>
            </w:r>
          </w:p>
        </w:tc>
      </w:tr>
      <w:tr>
        <w:tc>
          <w:tcPr>
            <w:tcW w:type="dxa" w:w="31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OpCo (Operating Company)</w:t>
            </w:r>
          </w:p>
        </w:tc>
        <w:tc>
          <w:tcPr>
            <w:tcW w:type="dxa" w:w="20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$4,000,000</w:t>
            </w:r>
          </w:p>
        </w:tc>
        <w:tc>
          <w:tcPr>
            <w:tcW w:type="dxa" w:w="20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22.86%</w:t>
            </w:r>
          </w:p>
        </w:tc>
        <w:tc>
          <w:tcPr>
            <w:tcW w:type="dxa" w:w="20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Generates operating cash flow</w:t>
            </w:r>
          </w:p>
        </w:tc>
      </w:tr>
      <w:tr>
        <w:tc>
          <w:tcPr>
            <w:tcW w:type="dxa" w:w="31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 Enterprise Value</w:t>
            </w:r>
          </w:p>
        </w:tc>
        <w:tc>
          <w:tcPr>
            <w:tcW w:type="dxa" w:w="20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$17,500,000</w:t>
            </w:r>
          </w:p>
        </w:tc>
        <w:tc>
          <w:tcPr>
            <w:tcW w:type="dxa" w:w="20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20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Basis for entire transaction</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1.3 Parties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5560"/>
      </w:tblGrid>
      <w:tr>
        <w:trPr>
          <w:tblHeader/>
        </w:trPr>
        <w:tc>
          <w:tcPr>
            <w:tcW w:type="dxa" w:w="18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Party</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Role</w:t>
            </w:r>
          </w:p>
        </w:tc>
        <w:tc>
          <w:tcPr>
            <w:tcW w:type="dxa" w:w="5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Detail</w:t>
            </w:r>
          </w:p>
        </w:tc>
      </w:tr>
      <w:tr>
        <w:tc>
          <w:tcPr>
            <w:tcW w:type="dxa" w:w="1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Outgoing Partner</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Seller</w:t>
            </w:r>
          </w:p>
        </w:tc>
        <w:tc>
          <w:tcPr>
            <w:tcW w:type="dxa" w:w="5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Receives $6.5M total ($4M cash at closing + $2.5M Seller Note). Full release from all Company liabilities at closing.</w:t>
            </w:r>
          </w:p>
        </w:tc>
      </w:tr>
      <w:tr>
        <w:tc>
          <w:tcPr>
            <w:tcW w:type="dxa" w:w="1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Incoming Partner / Buyer</w:t>
            </w:r>
          </w:p>
        </w:tc>
        <w:tc>
          <w:tcPr>
            <w:tcW w:type="dxa" w:w="5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Acquires 24.5% of PropCo + 24.5% of OpCo. 40% of Seller Note guarantee (negotiated). Personal guarantee: $1,131,667.</w:t>
            </w:r>
          </w:p>
        </w:tc>
      </w:tr>
      <w:tr>
        <w:tc>
          <w:tcPr>
            <w:tcW w:type="dxa" w:w="1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Incoming Partner / Buyer</w:t>
            </w:r>
          </w:p>
        </w:tc>
        <w:tc>
          <w:tcPr>
            <w:tcW w:type="dxa" w:w="5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Acquires 24.5% of PropCo + 24.5% of OpCo. 40% of Seller Note guarantee (negotiated). Personal guarantee: $1,131,667.</w:t>
            </w:r>
          </w:p>
        </w:tc>
      </w:tr>
      <w:tr>
        <w:tc>
          <w:tcPr>
            <w:tcW w:type="dxa" w:w="1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Continuing + Acquiring Partner</w:t>
            </w:r>
          </w:p>
        </w:tc>
        <w:tc>
          <w:tcPr>
            <w:tcW w:type="dxa" w:w="5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Acquires 1% of PropCo + 26% of OpCo. 20% of Seller Note guarantee (negotiated). Retains majority control post-closing.</w:t>
            </w:r>
          </w:p>
        </w:tc>
      </w:tr>
      <w:tr>
        <w:tc>
          <w:tcPr>
            <w:tcW w:type="dxa" w:w="1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Lydia Chavez</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Outgoing / Creditor</w:t>
            </w:r>
          </w:p>
        </w:tc>
        <w:tc>
          <w:tcPr>
            <w:tcW w:type="dxa" w:w="5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$200,000 retained earnings recognized as payable. Agreed to loan back to Company (non-interest, 1-year term).</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2. Equity Structure — Pre &amp; Post-Closing</w:t>
      </w:r>
    </w:p>
    <w:p>
      <w:pPr>
        <w:pStyle w:val="Heading2"/>
        <w:spacing w:after="100" w:before="280"/>
      </w:pPr>
      <w:r>
        <w:rPr>
          <w:rFonts w:ascii="Arial" w:cs="Arial" w:eastAsia="Arial" w:hAnsi="Arial"/>
          <w:b/>
          <w:bCs/>
          <w:color w:val="1B4F8A"/>
          <w:sz w:val="24"/>
          <w:szCs w:val="24"/>
        </w:rPr>
        <w:t xml:space="preserve">2.1 PropCo — Equity Ownership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2F2F2" w:val="clear"/>
            <w:tcMar>
              <w:top w:type="dxa" w:w="120"/>
              <w:left w:type="dxa" w:w="180"/>
              <w:bottom w:type="dxa" w:w="120"/>
              <w:right w:type="dxa" w:w="180"/>
            </w:tcMar>
          </w:tcPr>
          <w:p>
            <w:r>
              <w:rPr>
                <w:rFonts w:ascii="Arial" w:cs="Arial" w:eastAsia="Arial" w:hAnsi="Arial"/>
                <w:b w:val="false"/>
                <w:bCs w:val="false"/>
                <w:color w:val="595959"/>
                <w:sz w:val="20"/>
                <w:szCs w:val="20"/>
              </w:rPr>
              <w:t xml:space="preserve">PropCo Agreed Value: $13,500,000</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680"/>
        <w:gridCol w:w="1680"/>
        <w:gridCol w:w="1680"/>
        <w:gridCol w:w="2320"/>
      </w:tblGrid>
      <w:tr>
        <w:trPr>
          <w:tblHeader/>
        </w:trPr>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Pre-Closing %</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Acquired at Closing</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Post-Closing %</w:t>
            </w:r>
          </w:p>
        </w:tc>
        <w:tc>
          <w:tcPr>
            <w:tcW w:type="dxa" w:w="2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of Interest Acquired</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Outgoing Partner</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(50%) — exits</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2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$6,750,000</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50%</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51%</w:t>
            </w:r>
          </w:p>
        </w:tc>
        <w:tc>
          <w:tcPr>
            <w:tcW w:type="dxa" w:w="2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$135,000</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2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$3,307,500</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2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$3,307,500</w:t>
            </w:r>
          </w:p>
        </w:tc>
      </w:tr>
      <w:tr>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50% transferred</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2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$6,750,000</w:t>
            </w:r>
          </w:p>
        </w:tc>
      </w:tr>
    </w:tbl>
    <w:p>
      <w:pPr>
        <w:spacing w:after="0" w:before="100"/>
      </w:pPr>
      <w:r>
        <w:t xml:space="preserve"/>
      </w:r>
    </w:p>
    <w:p>
      <w:pPr>
        <w:pStyle w:val="Heading2"/>
        <w:spacing w:after="100" w:before="280"/>
      </w:pPr>
      <w:r>
        <w:rPr>
          <w:rFonts w:ascii="Arial" w:cs="Arial" w:eastAsia="Arial" w:hAnsi="Arial"/>
          <w:b/>
          <w:bCs/>
          <w:color w:val="1B4F8A"/>
          <w:sz w:val="24"/>
          <w:szCs w:val="24"/>
        </w:rPr>
        <w:t xml:space="preserve">2.2 OpCo — Equity Ownership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val="false"/>
                <w:bCs w:val="false"/>
                <w:color w:val="27500A"/>
                <w:sz w:val="20"/>
                <w:szCs w:val="20"/>
              </w:rPr>
              <w:t xml:space="preserve">OpCo Agreed Value: $4,000,000  |  OpCo is the cash-flow generating entity — basis for Seller Note guarantee allocation</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680"/>
        <w:gridCol w:w="1680"/>
        <w:gridCol w:w="1680"/>
        <w:gridCol w:w="2320"/>
      </w:tblGrid>
      <w:tr>
        <w:trPr>
          <w:tblHeader/>
        </w:trPr>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Pre-Closing %</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Acquired at Closing</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Post-Closing %</w:t>
            </w:r>
          </w:p>
        </w:tc>
        <w:tc>
          <w:tcPr>
            <w:tcW w:type="dxa" w:w="2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of Interest Acquired</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Outgoing Partner</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75%</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(75%) — exits</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2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$3,000,000</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25%</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+26%</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51%</w:t>
            </w:r>
          </w:p>
        </w:tc>
        <w:tc>
          <w:tcPr>
            <w:tcW w:type="dxa" w:w="2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$1,040,000</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2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$980,000</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2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$980,000</w:t>
            </w:r>
          </w:p>
        </w:tc>
      </w:tr>
      <w:tr>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75% transferred</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2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$3,000,000</w:t>
            </w:r>
          </w:p>
        </w:tc>
      </w:tr>
    </w:tbl>
    <w:p>
      <w:pPr>
        <w:spacing w:after="0" w:before="100"/>
      </w:pPr>
      <w:r>
        <w:t xml:space="preserve"/>
      </w:r>
    </w:p>
    <w:p>
      <w:pPr>
        <w:pStyle w:val="Heading2"/>
        <w:spacing w:after="100" w:before="280"/>
      </w:pPr>
      <w:r>
        <w:rPr>
          <w:rFonts w:ascii="Arial" w:cs="Arial" w:eastAsia="Arial" w:hAnsi="Arial"/>
          <w:b/>
          <w:bCs/>
          <w:color w:val="1B4F8A"/>
          <w:sz w:val="24"/>
          <w:szCs w:val="24"/>
        </w:rPr>
        <w:t xml:space="preserve">2.3 Consolidated Post-Closing Ownership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500"/>
        <w:gridCol w:w="1500"/>
        <w:gridCol w:w="1500"/>
        <w:gridCol w:w="2860"/>
      </w:tblGrid>
      <w:tr>
        <w:trPr>
          <w:tblHeader/>
        </w:trPr>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1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PropCo Post-Closing</w:t>
            </w:r>
          </w:p>
        </w:tc>
        <w:tc>
          <w:tcPr>
            <w:tcW w:type="dxa" w:w="1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OpCo Post-Closing</w:t>
            </w:r>
          </w:p>
        </w:tc>
        <w:tc>
          <w:tcPr>
            <w:tcW w:type="dxa" w:w="1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Control Status</w:t>
            </w:r>
          </w:p>
        </w:tc>
        <w:tc>
          <w:tcPr>
            <w:tcW w:type="dxa" w:w="28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Notes</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51%</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51%</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MAJORITY — both entities</w:t>
            </w:r>
          </w:p>
        </w:tc>
        <w:tc>
          <w:tcPr>
            <w:tcW w:type="dxa" w:w="28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Majority partner exit restriction applies while Seller Note outstanding.</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1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Minority — both entities</w:t>
            </w:r>
          </w:p>
        </w:tc>
        <w:tc>
          <w:tcPr>
            <w:tcW w:type="dxa" w:w="28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Identical interest in both entities.</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Minority — both entities</w:t>
            </w:r>
          </w:p>
        </w:tc>
        <w:tc>
          <w:tcPr>
            <w:tcW w:type="dxa" w:w="28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Identical interest in both entities.</w:t>
            </w:r>
          </w:p>
        </w:tc>
      </w:tr>
      <w:tr>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1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
            </w:r>
          </w:p>
        </w:tc>
        <w:tc>
          <w:tcPr>
            <w:tcW w:type="dxa" w:w="28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3. Deal Economics &amp; Capital Structure</w:t>
      </w:r>
    </w:p>
    <w:p>
      <w:pPr>
        <w:pStyle w:val="Heading2"/>
        <w:spacing w:after="100" w:before="280"/>
      </w:pPr>
      <w:r>
        <w:rPr>
          <w:rFonts w:ascii="Arial" w:cs="Arial" w:eastAsia="Arial" w:hAnsi="Arial"/>
          <w:b/>
          <w:bCs/>
          <w:color w:val="1B4F8A"/>
          <w:sz w:val="24"/>
          <w:szCs w:val="24"/>
        </w:rPr>
        <w:t xml:space="preserve">3.1 Sources &amp; Uses of Funds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930"/>
        <w:gridCol w:w="2930"/>
      </w:tblGrid>
      <w:tr>
        <w:trPr>
          <w:tblHeader/>
        </w:trPr>
        <w:tc>
          <w:tcPr>
            <w:tcW w:type="dxa" w:w="3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Component</w:t>
            </w:r>
          </w:p>
        </w:tc>
        <w:tc>
          <w:tcPr>
            <w:tcW w:type="dxa" w:w="293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Amount</w:t>
            </w:r>
          </w:p>
        </w:tc>
        <w:tc>
          <w:tcPr>
            <w:tcW w:type="dxa" w:w="293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Notes</w:t>
            </w:r>
          </w:p>
        </w:tc>
      </w:tr>
      <w:tr>
        <w:tc>
          <w:tcPr>
            <w:tcW w:type="dxa" w:w="3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Senior bank debt (refinancing + new)</w:t>
            </w:r>
          </w:p>
        </w:tc>
        <w:tc>
          <w:tcPr>
            <w:tcW w:type="dxa" w:w="293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$10,000,000</w:t>
            </w:r>
          </w:p>
        </w:tc>
        <w:tc>
          <w:tcPr>
            <w:tcW w:type="dxa" w:w="293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6.00% fixed / 25-year amortization</w:t>
            </w:r>
          </w:p>
        </w:tc>
      </w:tr>
      <w:tr>
        <w:tc>
          <w:tcPr>
            <w:tcW w:type="dxa" w:w="3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Financing Note</w:t>
            </w:r>
          </w:p>
        </w:tc>
        <w:tc>
          <w:tcPr>
            <w:tcW w:type="dxa" w:w="293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$2,500,000</w:t>
            </w:r>
          </w:p>
        </w:tc>
        <w:tc>
          <w:tcPr>
            <w:tcW w:type="dxa" w:w="293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4.00% fixed / 15-year amortization</w:t>
            </w:r>
          </w:p>
        </w:tc>
      </w:tr>
      <w:tr>
        <w:tc>
          <w:tcPr>
            <w:tcW w:type="dxa" w:w="3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 Buyout Consideration</w:t>
            </w:r>
          </w:p>
        </w:tc>
        <w:tc>
          <w:tcPr>
            <w:tcW w:type="dxa" w:w="293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$6,500,000</w:t>
            </w:r>
          </w:p>
        </w:tc>
        <w:tc>
          <w:tcPr>
            <w:tcW w:type="dxa" w:w="293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Cash $4M at closing + Note $2.5M</w:t>
            </w:r>
          </w:p>
        </w:tc>
      </w:tr>
      <w:tr>
        <w:tc>
          <w:tcPr>
            <w:tcW w:type="dxa" w:w="3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Pre-closing distributions (all current partners)</w:t>
            </w:r>
          </w:p>
        </w:tc>
        <w:tc>
          <w:tcPr>
            <w:tcW w:type="dxa" w:w="293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$236,667</w:t>
            </w:r>
          </w:p>
        </w:tc>
        <w:tc>
          <w:tcPr>
            <w:tcW w:type="dxa" w:w="293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From retained capital, pro-rata per current ownership</w:t>
            </w:r>
          </w:p>
        </w:tc>
      </w:tr>
      <w:tr>
        <w:tc>
          <w:tcPr>
            <w:tcW w:type="dxa" w:w="3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Lydia Chavez retained earnings (loan-back)</w:t>
            </w:r>
          </w:p>
        </w:tc>
        <w:tc>
          <w:tcPr>
            <w:tcW w:type="dxa" w:w="293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$200,000</w:t>
            </w:r>
          </w:p>
        </w:tc>
        <w:tc>
          <w:tcPr>
            <w:tcW w:type="dxa" w:w="293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Non-interest loan back to Company, 1-year term</w:t>
            </w:r>
          </w:p>
        </w:tc>
      </w:tr>
    </w:tbl>
    <w:p>
      <w:pPr>
        <w:spacing w:after="0" w:before="100"/>
      </w:pPr>
      <w:r>
        <w:t xml:space="preserve"/>
      </w:r>
    </w:p>
    <w:p>
      <w:pPr>
        <w:pStyle w:val="Heading2"/>
        <w:spacing w:after="100" w:before="280"/>
      </w:pPr>
      <w:r>
        <w:rPr>
          <w:rFonts w:ascii="Arial" w:cs="Arial" w:eastAsia="Arial" w:hAnsi="Arial"/>
          <w:b/>
          <w:bCs/>
          <w:color w:val="1B4F8A"/>
          <w:sz w:val="24"/>
          <w:szCs w:val="24"/>
        </w:rPr>
        <w:t xml:space="preserve">3.2 Annual Debt Service — By Obligor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790"/>
        <w:gridCol w:w="1790"/>
        <w:gridCol w:w="2580"/>
      </w:tblGrid>
      <w:tr>
        <w:trPr>
          <w:tblHeader/>
        </w:trPr>
        <w:tc>
          <w:tcPr>
            <w:tcW w:type="dxa" w:w="3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Obligation</w:t>
            </w:r>
          </w:p>
        </w:tc>
        <w:tc>
          <w:tcPr>
            <w:tcW w:type="dxa" w:w="179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Monthly</w:t>
            </w:r>
          </w:p>
        </w:tc>
        <w:tc>
          <w:tcPr>
            <w:tcW w:type="dxa" w:w="179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Annual</w:t>
            </w:r>
          </w:p>
        </w:tc>
        <w:tc>
          <w:tcPr>
            <w:tcW w:type="dxa" w:w="25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Paid By</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Senior bank payment</w:t>
            </w:r>
          </w:p>
        </w:tc>
        <w:tc>
          <w:tcPr>
            <w:tcW w:type="dxa" w:w="179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~$64,430</w:t>
            </w:r>
          </w:p>
        </w:tc>
        <w:tc>
          <w:tcPr>
            <w:tcW w:type="dxa" w:w="179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25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LLC — mandatory corporate obligation (6.00%/25yr)</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Note — Benito's share (45.27%)</w:t>
            </w:r>
          </w:p>
        </w:tc>
        <w:tc>
          <w:tcPr>
            <w:tcW w:type="dxa" w:w="179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~$8,371</w:t>
            </w:r>
          </w:p>
        </w:tc>
        <w:tc>
          <w:tcPr>
            <w:tcW w:type="dxa" w:w="179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25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 personally — from his distributions</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Seller Note — Oscar's share (45.27%)</w:t>
            </w:r>
          </w:p>
        </w:tc>
        <w:tc>
          <w:tcPr>
            <w:tcW w:type="dxa" w:w="179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~$8,371</w:t>
            </w:r>
          </w:p>
        </w:tc>
        <w:tc>
          <w:tcPr>
            <w:tcW w:type="dxa" w:w="179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25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 personally — from his distributions</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Note — Mario's share (9.47%)</w:t>
            </w:r>
          </w:p>
        </w:tc>
        <w:tc>
          <w:tcPr>
            <w:tcW w:type="dxa" w:w="179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~$1,751</w:t>
            </w:r>
          </w:p>
        </w:tc>
        <w:tc>
          <w:tcPr>
            <w:tcW w:type="dxa" w:w="179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~$21,007</w:t>
            </w:r>
          </w:p>
        </w:tc>
        <w:tc>
          <w:tcPr>
            <w:tcW w:type="dxa" w:w="25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Mario personally — from his distributions</w:t>
            </w:r>
          </w:p>
        </w:tc>
      </w:tr>
      <w:tr>
        <w:tc>
          <w:tcPr>
            <w:tcW w:type="dxa" w:w="32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 Note (all partners)</w:t>
            </w:r>
          </w:p>
        </w:tc>
        <w:tc>
          <w:tcPr>
            <w:tcW w:type="dxa" w:w="179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~$18,500</w:t>
            </w:r>
          </w:p>
        </w:tc>
        <w:tc>
          <w:tcPr>
            <w:tcW w:type="dxa" w:w="179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~$222,000</w:t>
            </w:r>
          </w:p>
        </w:tc>
        <w:tc>
          <w:tcPr>
            <w:tcW w:type="dxa" w:w="25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Partners personally — not an LLC expense</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val="false"/>
                <w:bCs w:val="false"/>
                <w:color w:val="27500A"/>
                <w:sz w:val="20"/>
                <w:szCs w:val="20"/>
              </w:rPr>
              <w:t xml:space="preserve">KEY STRUCTURAL CHANGE: The Seller Note (~$18,500/month) is NOT paid by the LLC as a corporate expense. It is serviced by the three partners from their individual distributions, in proportion to their negotiated guarantee allocation (40/40/20). This eliminates the prior $20,000/month bonus to Mario (which created permanent ordinary income), and ensures Mario's 51% distribution is received fully intact. The LLC's only direct corporate debt is the senior bank loan ($773,160/year).</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4. Personal Guarantee Structure — Seller Note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val="false"/>
                <w:bCs w:val="false"/>
                <w:color w:val="27500A"/>
                <w:sz w:val="20"/>
                <w:szCs w:val="20"/>
              </w:rPr>
              <w:t xml:space="preserve">CRITICAL DISTINCTION: The Seller Note guarantee allocation of 45.27% (Benito) / 45.27% (Oscar) / 9.47% (Mario) is NOT a negotiated arbitrary figure. It is the direct mathematical result of calculating the proportional dollar value each partner acquires in this transaction, weighted by the actual enterprise value of each entity (SLT $13.5M / Spindle $4M). Each partner guarantees exactly in proportion to what they received.</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4.1 Guarantee Derivation — Step-by-Step Methodology</w:t>
      </w:r>
    </w:p>
    <w:p>
      <w:pPr>
        <w:spacing w:after="0" w:before="60"/>
      </w:pPr>
      <w:r>
        <w:t xml:space="preserve"/>
      </w:r>
    </w:p>
    <w:p>
      <w:pPr>
        <w:spacing w:after="80" w:before="200"/>
      </w:pPr>
      <w:r>
        <w:rPr>
          <w:rFonts w:ascii="Arial" w:cs="Arial" w:eastAsia="Arial" w:hAnsi="Arial"/>
          <w:b/>
          <w:bCs/>
          <w:color w:val="595959"/>
          <w:sz w:val="22"/>
          <w:szCs w:val="22"/>
        </w:rPr>
        <w:t xml:space="preserve">Step 1 — Net equity per entity after proportional debt allocation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180"/>
        <w:gridCol w:w="2180"/>
        <w:gridCol w:w="2000"/>
      </w:tblGrid>
      <w:tr>
        <w:trPr>
          <w:tblHeader/>
        </w:trPr>
        <w:tc>
          <w:tcPr>
            <w:tcW w:type="dxa" w:w="3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Concept</w:t>
            </w:r>
          </w:p>
        </w:tc>
        <w:tc>
          <w:tcPr>
            <w:tcW w:type="dxa" w:w="21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SLT (PropCo)</w:t>
            </w:r>
          </w:p>
        </w:tc>
        <w:tc>
          <w:tcPr>
            <w:tcW w:type="dxa" w:w="21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Spindle (OpCo)</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Total</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Enterprise value</w:t>
            </w:r>
          </w:p>
        </w:tc>
        <w:tc>
          <w:tcPr>
            <w:tcW w:type="dxa" w:w="2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$13,500,000</w:t>
            </w:r>
          </w:p>
        </w:tc>
        <w:tc>
          <w:tcPr>
            <w:tcW w:type="dxa" w:w="2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$4,000,000</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$17,500,000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Proportional bank debt allocation</w:t>
            </w:r>
          </w:p>
        </w:tc>
        <w:tc>
          <w:tcPr>
            <w:tcW w:type="dxa" w:w="2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($4,628,571)</w:t>
            </w:r>
          </w:p>
        </w:tc>
        <w:tc>
          <w:tcPr>
            <w:tcW w:type="dxa" w:w="2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($1,371,429)</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($6,000,000)</w:t>
            </w:r>
          </w:p>
        </w:tc>
      </w:tr>
      <w:tr>
        <w:tc>
          <w:tcPr>
            <w:tcW w:type="dxa" w:w="3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Net equity per entity</w:t>
            </w:r>
          </w:p>
        </w:tc>
        <w:tc>
          <w:tcPr>
            <w:tcW w:type="dxa" w:w="21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$8,871,429</w:t>
            </w:r>
          </w:p>
        </w:tc>
        <w:tc>
          <w:tcPr>
            <w:tcW w:type="dxa" w:w="21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$2,628,571</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$11,500,000</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Outgoing partner equity %</w:t>
            </w:r>
          </w:p>
        </w:tc>
        <w:tc>
          <w:tcPr>
            <w:tcW w:type="dxa" w:w="2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50%</w:t>
            </w:r>
          </w:p>
        </w:tc>
        <w:tc>
          <w:tcPr>
            <w:tcW w:type="dxa" w:w="2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75%</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w:t>
            </w:r>
          </w:p>
        </w:tc>
      </w:tr>
      <w:tr>
        <w:tc>
          <w:tcPr>
            <w:tcW w:type="dxa" w:w="30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Outgoing partner equity value</w:t>
            </w:r>
          </w:p>
        </w:tc>
        <w:tc>
          <w:tcPr>
            <w:tcW w:type="dxa" w:w="218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$4,435,714</w:t>
            </w:r>
          </w:p>
        </w:tc>
        <w:tc>
          <w:tcPr>
            <w:tcW w:type="dxa" w:w="218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$1,971,429</w:t>
            </w:r>
          </w:p>
        </w:tc>
        <w:tc>
          <w:tcPr>
            <w:tcW w:type="dxa" w:w="20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$6,407,143</w:t>
            </w:r>
          </w:p>
        </w:tc>
      </w:tr>
      <w:tr>
        <w:tc>
          <w:tcPr>
            <w:tcW w:type="dxa" w:w="3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Purchase price (rounded to agreed)</w:t>
            </w:r>
          </w:p>
        </w:tc>
        <w:tc>
          <w:tcPr>
            <w:tcW w:type="dxa" w:w="21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w:t>
            </w:r>
          </w:p>
        </w:tc>
        <w:tc>
          <w:tcPr>
            <w:tcW w:type="dxa" w:w="21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$6,500,000</w:t>
            </w:r>
          </w:p>
        </w:tc>
      </w:tr>
    </w:tbl>
    <w:p>
      <w:pPr>
        <w:spacing w:after="0" w:before="80"/>
      </w:pPr>
      <w:r>
        <w:t xml:space="preserve"/>
      </w:r>
    </w:p>
    <w:p>
      <w:pPr>
        <w:spacing w:after="80" w:before="200"/>
      </w:pPr>
      <w:r>
        <w:rPr>
          <w:rFonts w:ascii="Arial" w:cs="Arial" w:eastAsia="Arial" w:hAnsi="Arial"/>
          <w:b/>
          <w:bCs/>
          <w:color w:val="595959"/>
          <w:sz w:val="22"/>
          <w:szCs w:val="22"/>
        </w:rPr>
        <w:t xml:space="preserve">Step 2 — Dollar value acquired by each partner per entity</w:t>
      </w:r>
    </w:p>
    <w:p>
      <w:pPr>
        <w:spacing w:after="60" w:before="60"/>
      </w:pPr>
      <w:r>
        <w:rPr>
          <w:rFonts w:ascii="Arial" w:cs="Arial" w:eastAsia="Arial" w:hAnsi="Arial"/>
          <w:color w:val="1A1A1A"/>
          <w:sz w:val="20"/>
          <w:szCs w:val="20"/>
        </w:rPr>
        <w:t xml:space="preserve">Blended acquisition rate = $6,500,000 ÷ $17,500,000 = 37.14% of total enterprise value. Applied proportionally: SLT portion = $5,014,286 / Spindle portion = $1,485,714.</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960"/>
        <w:gridCol w:w="1000"/>
        <w:gridCol w:w="920"/>
        <w:gridCol w:w="920"/>
        <w:gridCol w:w="1420"/>
        <w:gridCol w:w="1420"/>
        <w:gridCol w:w="1220"/>
      </w:tblGrid>
      <w:tr>
        <w:trPr>
          <w:tblHeader/>
        </w:trPr>
        <w:tc>
          <w:tcPr>
            <w:tcW w:type="dxa" w:w="1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9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SLT acq.</w:t>
            </w:r>
          </w:p>
        </w:tc>
        <w:tc>
          <w:tcPr>
            <w:tcW w:type="dxa" w:w="1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Spindle acq.</w:t>
            </w:r>
          </w:p>
        </w:tc>
        <w:tc>
          <w:tcPr>
            <w:tcW w:type="dxa" w:w="9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real SLT</w:t>
            </w:r>
          </w:p>
        </w:tc>
        <w:tc>
          <w:tcPr>
            <w:tcW w:type="dxa" w:w="9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real Spindle</w:t>
            </w:r>
          </w:p>
        </w:tc>
        <w:tc>
          <w:tcPr>
            <w:tcW w:type="dxa" w:w="14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SLT</w:t>
            </w:r>
          </w:p>
        </w:tc>
        <w:tc>
          <w:tcPr>
            <w:tcW w:type="dxa" w:w="14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Spindle</w:t>
            </w:r>
          </w:p>
        </w:tc>
        <w:tc>
          <w:tcPr>
            <w:tcW w:type="dxa" w:w="12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Total</w:t>
            </w:r>
          </w:p>
        </w:tc>
      </w:tr>
      <w:tr>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w:t>
            </w:r>
          </w:p>
        </w:tc>
        <w:tc>
          <w:tcPr>
            <w:tcW w:type="dxa" w:w="9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w:t>
            </w:r>
          </w:p>
        </w:tc>
        <w:tc>
          <w:tcPr>
            <w:tcW w:type="dxa" w:w="1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26.0%</w:t>
            </w:r>
          </w:p>
        </w:tc>
        <w:tc>
          <w:tcPr>
            <w:tcW w:type="dxa" w:w="9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2.0%</w:t>
            </w:r>
          </w:p>
        </w:tc>
        <w:tc>
          <w:tcPr>
            <w:tcW w:type="dxa" w:w="9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34.7%</w:t>
            </w:r>
          </w:p>
        </w:tc>
        <w:tc>
          <w:tcPr>
            <w:tcW w:type="dxa" w:w="14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$100,286</w:t>
            </w:r>
          </w:p>
        </w:tc>
        <w:tc>
          <w:tcPr>
            <w:tcW w:type="dxa" w:w="14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$515,048</w:t>
            </w:r>
          </w:p>
        </w:tc>
        <w:tc>
          <w:tcPr>
            <w:tcW w:type="dxa" w:w="12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$615,333</w:t>
            </w:r>
          </w:p>
        </w:tc>
      </w:tr>
      <w:tr>
        <w:tc>
          <w:tcPr>
            <w:tcW w:type="dxa" w:w="1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w:t>
            </w:r>
          </w:p>
        </w:tc>
        <w:tc>
          <w:tcPr>
            <w:tcW w:type="dxa" w:w="9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9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49.0%</w:t>
            </w:r>
          </w:p>
        </w:tc>
        <w:tc>
          <w:tcPr>
            <w:tcW w:type="dxa" w:w="9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32.7%</w:t>
            </w:r>
          </w:p>
        </w:tc>
        <w:tc>
          <w:tcPr>
            <w:tcW w:type="dxa" w:w="14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$2,457,000</w:t>
            </w:r>
          </w:p>
        </w:tc>
        <w:tc>
          <w:tcPr>
            <w:tcW w:type="dxa" w:w="14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$485,333</w:t>
            </w:r>
          </w:p>
        </w:tc>
        <w:tc>
          <w:tcPr>
            <w:tcW w:type="dxa" w:w="12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$2,942,333</w:t>
            </w:r>
          </w:p>
        </w:tc>
      </w:tr>
      <w:tr>
        <w:tc>
          <w:tcPr>
            <w:tcW w:type="dxa" w:w="1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w:t>
            </w:r>
          </w:p>
        </w:tc>
        <w:tc>
          <w:tcPr>
            <w:tcW w:type="dxa" w:w="9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9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49.0%</w:t>
            </w:r>
          </w:p>
        </w:tc>
        <w:tc>
          <w:tcPr>
            <w:tcW w:type="dxa" w:w="9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32.7%</w:t>
            </w:r>
          </w:p>
        </w:tc>
        <w:tc>
          <w:tcPr>
            <w:tcW w:type="dxa" w:w="14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$2,457,000</w:t>
            </w:r>
          </w:p>
        </w:tc>
        <w:tc>
          <w:tcPr>
            <w:tcW w:type="dxa" w:w="14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$485,333</w:t>
            </w:r>
          </w:p>
        </w:tc>
        <w:tc>
          <w:tcPr>
            <w:tcW w:type="dxa" w:w="12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$2,942,333</w:t>
            </w:r>
          </w:p>
        </w:tc>
      </w:tr>
      <w:tr>
        <w:tc>
          <w:tcPr>
            <w:tcW w:type="dxa" w:w="1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9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50%</w:t>
            </w:r>
          </w:p>
        </w:tc>
        <w:tc>
          <w:tcPr>
            <w:tcW w:type="dxa" w:w="1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75%</w:t>
            </w:r>
          </w:p>
        </w:tc>
        <w:tc>
          <w:tcPr>
            <w:tcW w:type="dxa" w:w="9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9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4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$5,014,286</w:t>
            </w:r>
          </w:p>
        </w:tc>
        <w:tc>
          <w:tcPr>
            <w:tcW w:type="dxa" w:w="14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$1,485,714</w:t>
            </w:r>
          </w:p>
        </w:tc>
        <w:tc>
          <w:tcPr>
            <w:tcW w:type="dxa" w:w="12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$6,500,000</w:t>
            </w:r>
          </w:p>
        </w:tc>
      </w:tr>
    </w:tbl>
    <w:p>
      <w:pPr>
        <w:spacing w:after="0" w:before="80"/>
      </w:pPr>
      <w:r>
        <w:t xml:space="preserve"/>
      </w:r>
    </w:p>
    <w:p>
      <w:pPr>
        <w:spacing w:after="80" w:before="200"/>
      </w:pPr>
      <w:r>
        <w:rPr>
          <w:rFonts w:ascii="Arial" w:cs="Arial" w:eastAsia="Arial" w:hAnsi="Arial"/>
          <w:b/>
          <w:bCs/>
          <w:color w:val="595959"/>
          <w:sz w:val="22"/>
          <w:szCs w:val="22"/>
        </w:rPr>
        <w:t xml:space="preserve">Step 3 — Guarantee % = Value acquired ÷ Total purchase price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1680"/>
        <w:gridCol w:w="1680"/>
        <w:gridCol w:w="2000"/>
      </w:tblGrid>
      <w:tr>
        <w:trPr>
          <w:tblHeader/>
        </w:trPr>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Value Acquired</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Total ($6.5M)</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Guarantee %</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Guarantee $ Amount</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$615,333</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 $6,500,000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 9.47%</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$236,667</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$2,942,333</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 $6,500,000</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 45.27%</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$1,131,667</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$2,942,333</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 $6,500,000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 45.27%</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$1,131,667</w:t>
            </w:r>
          </w:p>
        </w:tc>
      </w:tr>
      <w:tr>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$6,500,000</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 $6,500,000</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 100%</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$2,500,000</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val="false"/>
                <w:bCs w:val="false"/>
                <w:color w:val="0C447C"/>
                <w:sz w:val="20"/>
                <w:szCs w:val="20"/>
              </w:rPr>
              <w:t xml:space="preserve">WHY THIS IS LEGALLY AND TAX SUPERIOR: Each partner guarantees in exact proportion to the economic value they acquired. Mario guarantees only 9.47% because he acquired only $615,333 of the $6.5M purchase price (primarily 1% of SLT which has lower proportional value). Benito and Oscar each acquired $2,942,333 and guarantee proportionally. This eliminates any IRS argument of gift, compensation, or disproportionate benefit.</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4.2 Guarantee Allocation — Final Terms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1400"/>
        <w:gridCol w:w="4560"/>
      </w:tblGrid>
      <w:tr>
        <w:trPr>
          <w:tblHeader/>
        </w:trPr>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Guarantor</w:t>
            </w:r>
          </w:p>
        </w:tc>
        <w:tc>
          <w:tcPr>
            <w:tcW w:type="dxa" w:w="14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Guarantee %</w:t>
            </w:r>
          </w:p>
        </w:tc>
        <w:tc>
          <w:tcPr>
            <w:tcW w:type="dxa" w:w="14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Guarantee $</w:t>
            </w:r>
          </w:p>
        </w:tc>
        <w:tc>
          <w:tcPr>
            <w:tcW w:type="dxa" w:w="4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Key Terms</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14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45.27%</w:t>
            </w:r>
          </w:p>
        </w:tc>
        <w:tc>
          <w:tcPr>
            <w:tcW w:type="dxa" w:w="14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$1,131,667</w:t>
            </w:r>
          </w:p>
        </w:tc>
        <w:tc>
          <w:tcPr>
            <w:tcW w:type="dxa" w:w="4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Several only (not joint). Auto-reduces pro-rata with each principal payment. Express waiver of reimbursement right vs. Company (§752). Subordinated to senior lender.</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14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45.27%</w:t>
            </w:r>
          </w:p>
        </w:tc>
        <w:tc>
          <w:tcPr>
            <w:tcW w:type="dxa" w:w="14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$1,131,667</w:t>
            </w:r>
          </w:p>
        </w:tc>
        <w:tc>
          <w:tcPr>
            <w:tcW w:type="dxa" w:w="4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Several only (not joint). Auto-reduces pro-rata with each principal payment. Express waiver of reimbursement right vs. Company (§752). Subordinated to senior lender.</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14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9.47%</w:t>
            </w:r>
          </w:p>
        </w:tc>
        <w:tc>
          <w:tcPr>
            <w:tcW w:type="dxa" w:w="14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$236,667</w:t>
            </w:r>
          </w:p>
        </w:tc>
        <w:tc>
          <w:tcPr>
            <w:tcW w:type="dxa" w:w="4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Several only (not joint). Auto-reduces pro-rata with each principal payment. Express waiver of reimbursement right vs. Company (§752). Subordinated to senior lender. Lower % reflects lower value acquired ($615,333 vs $2,942,333 for B&amp;O).</w:t>
            </w:r>
          </w:p>
        </w:tc>
      </w:tr>
      <w:tr>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14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4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$2,500,000</w:t>
            </w:r>
          </w:p>
        </w:tc>
        <w:tc>
          <w:tcPr>
            <w:tcW w:type="dxa" w:w="45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Guarantee terminates automatically upon full Seller Note repayment.</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4.3 Guarantee Agreement — Required Language</w:t>
      </w:r>
    </w:p>
    <w:p>
      <w:pPr>
        <w:spacing w:after="60" w:before="60"/>
      </w:pPr>
      <w:r>
        <w:rPr>
          <w:rFonts w:ascii="Arial" w:cs="Arial" w:eastAsia="Arial" w:hAnsi="Arial"/>
          <w:color w:val="1A1A1A"/>
          <w:sz w:val="20"/>
          <w:szCs w:val="20"/>
        </w:rPr>
        <w:t xml:space="preserve">The Limited Personal Guarantee Agreement must include the following provisions:</w:t>
      </w:r>
    </w:p>
    <w:p>
      <w:pPr>
        <w:spacing w:after="0" w:before="60"/>
      </w:pPr>
      <w:r>
        <w:t xml:space="preserve"/>
      </w:r>
    </w:p>
    <w:p>
      <w:pPr>
        <w:pStyle w:val="ListParagraph"/>
        <w:numPr>
          <w:ilvl w:val="0"/>
          <w:numId w:val="2"/>
        </w:numPr>
        <w:spacing w:after="40" w:before="40"/>
      </w:pPr>
      <w:r>
        <w:rPr>
          <w:rFonts w:ascii="Arial" w:cs="Arial" w:eastAsia="Arial" w:hAnsi="Arial"/>
          <w:b/>
          <w:bCs/>
          <w:color w:val="1A1A1A"/>
          <w:sz w:val="20"/>
          <w:szCs w:val="20"/>
        </w:rPr>
        <w:t xml:space="preserve">The parties acknowledge that the guarantee percentage of each Guarantor is derived from a mathematical calculation of the proportional dollar value of equity acquired by each partner in the Transaction, weighted by the agreed enterprise value of each entity (SLT: $13,500,000 / Spindle: $4,000,000). The resulting percentages are: Benito [Last Name] 45.27% / Oscar [Last Name] 45.27% / Mario [Last Name] 9.47%, corresponding to guarantee amounts of $1,131,667 / $1,131,667 / $236,667 respectively. </w:t>
      </w:r>
      <w:r>
        <w:rPr>
          <w:rFonts w:ascii="Arial" w:cs="Arial" w:eastAsia="Arial" w:hAnsi="Arial"/>
          <w:color w:val="1A1A1A"/>
          <w:sz w:val="20"/>
          <w:szCs w:val="20"/>
        </w:rPr>
        <w:t xml:space="preserve">Section 1 — Mathematically Derived Allocation:</w:t>
      </w:r>
    </w:p>
    <w:p>
      <w:pPr>
        <w:pStyle w:val="ListParagraph"/>
        <w:numPr>
          <w:ilvl w:val="0"/>
          <w:numId w:val="2"/>
        </w:numPr>
        <w:spacing w:after="40" w:before="40"/>
      </w:pPr>
      <w:r>
        <w:rPr>
          <w:rFonts w:ascii="Arial" w:cs="Arial" w:eastAsia="Arial" w:hAnsi="Arial"/>
          <w:b/>
          <w:bCs/>
          <w:color w:val="1A1A1A"/>
          <w:sz w:val="20"/>
          <w:szCs w:val="20"/>
        </w:rPr>
        <w:t xml:space="preserve">Each Guarantor's obligation is several and not joint. No Guarantor bears any responsibility for the obligations of any other Guarantor. </w:t>
      </w:r>
      <w:r>
        <w:rPr>
          <w:rFonts w:ascii="Arial" w:cs="Arial" w:eastAsia="Arial" w:hAnsi="Arial"/>
          <w:color w:val="1A1A1A"/>
          <w:sz w:val="20"/>
          <w:szCs w:val="20"/>
        </w:rPr>
        <w:t xml:space="preserve">Section 2 — Several Obligations:</w:t>
      </w:r>
    </w:p>
    <w:p>
      <w:pPr>
        <w:pStyle w:val="ListParagraph"/>
        <w:numPr>
          <w:ilvl w:val="0"/>
          <w:numId w:val="2"/>
        </w:numPr>
        <w:spacing w:after="40" w:before="40"/>
      </w:pPr>
      <w:r>
        <w:rPr>
          <w:rFonts w:ascii="Arial" w:cs="Arial" w:eastAsia="Arial" w:hAnsi="Arial"/>
          <w:b/>
          <w:bCs/>
          <w:color w:val="1A1A1A"/>
          <w:sz w:val="20"/>
          <w:szCs w:val="20"/>
        </w:rPr>
        <w:t xml:space="preserve">Maximum liability of each Guarantor reduces automatically and simultaneously with each principal payment on the Seller Note. Maximum exposure at any time = Guarantee % × outstanding principal balance. </w:t>
      </w:r>
      <w:r>
        <w:rPr>
          <w:rFonts w:ascii="Arial" w:cs="Arial" w:eastAsia="Arial" w:hAnsi="Arial"/>
          <w:color w:val="1A1A1A"/>
          <w:sz w:val="20"/>
          <w:szCs w:val="20"/>
        </w:rPr>
        <w:t xml:space="preserve">Section 3 — Automatic Reduction:</w:t>
      </w:r>
    </w:p>
    <w:p>
      <w:pPr>
        <w:pStyle w:val="ListParagraph"/>
        <w:numPr>
          <w:ilvl w:val="0"/>
          <w:numId w:val="2"/>
        </w:numPr>
        <w:spacing w:after="40" w:before="40"/>
      </w:pPr>
      <w:r>
        <w:rPr>
          <w:rFonts w:ascii="Arial" w:cs="Arial" w:eastAsia="Arial" w:hAnsi="Arial"/>
          <w:b/>
          <w:bCs/>
          <w:color w:val="1A1A1A"/>
          <w:sz w:val="20"/>
          <w:szCs w:val="20"/>
        </w:rPr>
        <w:t xml:space="preserve">Each Guarantor irrevocably waives any right of reimbursement, contribution, or indemnification from the Company. This waiver establishes real economic risk of loss under IRC §752 and is a material term of this Agreement. </w:t>
      </w:r>
      <w:r>
        <w:rPr>
          <w:rFonts w:ascii="Arial" w:cs="Arial" w:eastAsia="Arial" w:hAnsi="Arial"/>
          <w:color w:val="1A1A1A"/>
          <w:sz w:val="20"/>
          <w:szCs w:val="20"/>
        </w:rPr>
        <w:t xml:space="preserve">Section 4 — Reimbursement Waiver (§752):</w:t>
      </w:r>
    </w:p>
    <w:p>
      <w:pPr>
        <w:pStyle w:val="ListParagraph"/>
        <w:numPr>
          <w:ilvl w:val="0"/>
          <w:numId w:val="2"/>
        </w:numPr>
        <w:spacing w:after="40" w:before="40"/>
      </w:pPr>
      <w:r>
        <w:rPr>
          <w:rFonts w:ascii="Arial" w:cs="Arial" w:eastAsia="Arial" w:hAnsi="Arial"/>
          <w:b/>
          <w:bCs/>
          <w:color w:val="1A1A1A"/>
          <w:sz w:val="20"/>
          <w:szCs w:val="20"/>
        </w:rPr>
        <w:t xml:space="preserve">All guarantee obligations are subordinated to the Company's senior lender. Seller may not seek enforcement in any manner conflicting with any intercreditor or subordination agreement. </w:t>
      </w:r>
      <w:r>
        <w:rPr>
          <w:rFonts w:ascii="Arial" w:cs="Arial" w:eastAsia="Arial" w:hAnsi="Arial"/>
          <w:color w:val="1A1A1A"/>
          <w:sz w:val="20"/>
          <w:szCs w:val="20"/>
        </w:rPr>
        <w:t xml:space="preserve">Section 5 — Subordination:</w:t>
      </w:r>
    </w:p>
    <w:p>
      <w:pPr>
        <w:pStyle w:val="ListParagraph"/>
        <w:numPr>
          <w:ilvl w:val="0"/>
          <w:numId w:val="2"/>
        </w:numPr>
        <w:spacing w:after="40" w:before="40"/>
      </w:pPr>
      <w:r>
        <w:rPr>
          <w:rFonts w:ascii="Arial" w:cs="Arial" w:eastAsia="Arial" w:hAnsi="Arial"/>
          <w:b/>
          <w:bCs/>
          <w:color w:val="1A1A1A"/>
          <w:sz w:val="20"/>
          <w:szCs w:val="20"/>
        </w:rPr>
        <w:t xml:space="preserve">This Guarantee terminates automatically upon full and final payment of all outstanding principal and interest under the Seller Note. </w:t>
      </w:r>
      <w:r>
        <w:rPr>
          <w:rFonts w:ascii="Arial" w:cs="Arial" w:eastAsia="Arial" w:hAnsi="Arial"/>
          <w:color w:val="1A1A1A"/>
          <w:sz w:val="20"/>
          <w:szCs w:val="20"/>
        </w:rPr>
        <w:t xml:space="preserve">Section 6 — Termination:</w:t>
      </w:r>
    </w:p>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5. Distribution Waterfall &amp; Seller Note Payment Mechanism</w:t>
      </w:r>
    </w:p>
    <w:p>
      <w:pPr>
        <w:spacing w:after="60" w:before="60"/>
      </w:pPr>
      <w:r>
        <w:rPr>
          <w:rFonts w:ascii="Arial" w:cs="Arial" w:eastAsia="Arial" w:hAnsi="Arial"/>
          <w:color w:val="1A1A1A"/>
          <w:sz w:val="20"/>
          <w:szCs w:val="20"/>
        </w:rPr>
        <w:t xml:space="preserve">The following structure governs all cash flows post-closing. The critical structural change from a standard leveraged buyout is that the Seller Note is serviced by the partners personally from their distributions — not by the LLC as a corporate expense. This eliminates double taxation for Mario and removes the need for a supplemental bonus arrangement.</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5.1 The Distribution-Based Note Payment Mechanism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val="false"/>
                <w:bCs w:val="false"/>
                <w:color w:val="0C447C"/>
                <w:sz w:val="20"/>
                <w:szCs w:val="20"/>
              </w:rPr>
              <w:t xml:space="preserve">MATHEMATICAL FOUNDATION: For the guarantee-based note payment (45.27/45.27/9.47) to align with the 24.5/24.5/51 equity distribution, the LLC must distribute exactly $34,167/month. At this amount, each partner's equity-based distribution exactly covers their proportional note obligation, with Mario retaining a net surplus.</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540"/>
        <w:gridCol w:w="1540"/>
        <w:gridCol w:w="1540"/>
        <w:gridCol w:w="2540"/>
      </w:tblGrid>
      <w:tr>
        <w:trPr>
          <w:tblHeader/>
        </w:trPr>
        <w:tc>
          <w:tcPr>
            <w:tcW w:type="dxa" w:w="2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w:t>
            </w:r>
          </w:p>
        </w:tc>
        <w:tc>
          <w:tcPr>
            <w:tcW w:type="dxa" w:w="15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Equity %</w:t>
            </w:r>
          </w:p>
        </w:tc>
        <w:tc>
          <w:tcPr>
            <w:tcW w:type="dxa" w:w="15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Monthly Distribution</w:t>
            </w:r>
          </w:p>
        </w:tc>
        <w:tc>
          <w:tcPr>
            <w:tcW w:type="dxa" w:w="15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Note Payment (45.27/45.27/9.47)</w:t>
            </w:r>
          </w:p>
        </w:tc>
        <w:tc>
          <w:tcPr>
            <w:tcW w:type="dxa" w:w="25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Net in Pocket</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Benito [Last Name]</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$8,371</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($8,371) — 45.27% of note</w:t>
            </w:r>
          </w:p>
        </w:tc>
        <w:tc>
          <w:tcPr>
            <w:tcW w:type="dxa" w:w="2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 at minimum dist.*</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Oscar [Last Name]</w:t>
            </w:r>
          </w:p>
        </w:tc>
        <w:tc>
          <w:tcPr>
            <w:tcW w:type="dxa" w:w="15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24.5%</w:t>
            </w:r>
          </w:p>
        </w:tc>
        <w:tc>
          <w:tcPr>
            <w:tcW w:type="dxa" w:w="15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$8,371</w:t>
            </w:r>
          </w:p>
        </w:tc>
        <w:tc>
          <w:tcPr>
            <w:tcW w:type="dxa" w:w="15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($8,371) — 45.27% of note</w:t>
            </w:r>
          </w:p>
        </w:tc>
        <w:tc>
          <w:tcPr>
            <w:tcW w:type="dxa" w:w="25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$0 at minimum dist.*</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 [Last Name]</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51%</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$17,425</w:t>
            </w:r>
          </w:p>
        </w:tc>
        <w:tc>
          <w:tcPr>
            <w:tcW w:type="dxa" w:w="1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($1,751) — 9.47% of note</w:t>
            </w:r>
          </w:p>
        </w:tc>
        <w:tc>
          <w:tcPr>
            <w:tcW w:type="dxa" w:w="25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$15,674 net intact</w:t>
            </w:r>
          </w:p>
        </w:tc>
      </w:tr>
      <w:tr>
        <w:tc>
          <w:tcPr>
            <w:tcW w:type="dxa" w:w="22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Total</w:t>
            </w:r>
          </w:p>
        </w:tc>
        <w:tc>
          <w:tcPr>
            <w:tcW w:type="dxa" w:w="154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100%</w:t>
            </w:r>
          </w:p>
        </w:tc>
        <w:tc>
          <w:tcPr>
            <w:tcW w:type="dxa" w:w="154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$34,167</w:t>
            </w:r>
          </w:p>
        </w:tc>
        <w:tc>
          <w:tcPr>
            <w:tcW w:type="dxa" w:w="154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($18,500)</w:t>
            </w:r>
          </w:p>
        </w:tc>
        <w:tc>
          <w:tcPr>
            <w:tcW w:type="dxa" w:w="254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$11,704</w:t>
            </w:r>
          </w:p>
        </w:tc>
      </w:tr>
    </w:tbl>
    <w:p>
      <w:pPr>
        <w:spacing w:after="0" w:before="60"/>
      </w:pPr>
      <w:r>
        <w:t xml:space="preserve"/>
      </w:r>
    </w:p>
    <w:p>
      <w:pPr>
        <w:spacing w:after="60" w:before="60"/>
      </w:pPr>
      <w:r>
        <w:rPr>
          <w:rFonts w:ascii="Arial" w:cs="Arial" w:eastAsia="Arial" w:hAnsi="Arial"/>
          <w:i/>
          <w:iCs/>
          <w:color w:val="595959"/>
          <w:sz w:val="18"/>
          <w:szCs w:val="18"/>
        </w:rPr>
        <w:t xml:space="preserve">* In months where the LLC distributes MORE than $34,167 (i.e., strong revenue months), Benito and Oscar retain the surplus above their note obligation. The $34,167/month is the minimum distribution required to cover the note. In the base case ($1,741,680 EBITDA), the LLC generates ~$55,000/month available for distribution — well above the minimum.</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5.2 Why This Eliminates Mario's Double Taxation Problem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180"/>
        <w:gridCol w:w="3180"/>
      </w:tblGrid>
      <w:tr>
        <w:trPr>
          <w:tblHeader/>
        </w:trPr>
        <w:tc>
          <w:tcPr>
            <w:tcW w:type="dxa" w:w="3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Issue</w:t>
            </w:r>
          </w:p>
        </w:tc>
        <w:tc>
          <w:tcPr>
            <w:tcW w:type="dxa" w:w="31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Prior Structure (with $20K bonus)</w:t>
            </w:r>
          </w:p>
        </w:tc>
        <w:tc>
          <w:tcPr>
            <w:tcW w:type="dxa" w:w="31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New Structure (distribution mechanism)</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Note payment source</w:t>
            </w:r>
          </w:p>
        </w:tc>
        <w:tc>
          <w:tcPr>
            <w:tcW w:type="dxa" w:w="3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LLC pays note — reduces all distributions</w:t>
            </w:r>
          </w:p>
        </w:tc>
        <w:tc>
          <w:tcPr>
            <w:tcW w:type="dxa" w:w="3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Partners pay from personal distributions</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Mario's compensation</w:t>
            </w:r>
          </w:p>
        </w:tc>
        <w:tc>
          <w:tcPr>
            <w:tcW w:type="dxa" w:w="3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$20,000/month bonus (permanent ordinary income)</w:t>
            </w:r>
          </w:p>
        </w:tc>
        <w:tc>
          <w:tcPr>
            <w:tcW w:type="dxa" w:w="3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No bonus — distribution only</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Mario's tax exposure</w:t>
            </w:r>
          </w:p>
        </w:tc>
        <w:tc>
          <w:tcPr>
            <w:tcW w:type="dxa" w:w="3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Taxes on bonus + reduced distribution = double burden</w:t>
            </w:r>
          </w:p>
        </w:tc>
        <w:tc>
          <w:tcPr>
            <w:tcW w:type="dxa" w:w="31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Taxes only on 51% net distribution received</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Bonus after note is repaid</w:t>
            </w:r>
          </w:p>
        </w:tc>
        <w:tc>
          <w:tcPr>
            <w:tcW w:type="dxa" w:w="3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$20K/month continues indefinitely — permanent cost</w:t>
            </w:r>
          </w:p>
        </w:tc>
        <w:tc>
          <w:tcPr>
            <w:tcW w:type="dxa" w:w="31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Ends automatically — no residual obligation</w:t>
            </w:r>
          </w:p>
        </w:tc>
      </w:tr>
      <w:tr>
        <w:tc>
          <w:tcPr>
            <w:tcW w:type="dxa" w:w="30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Annual cost of bonus</w:t>
            </w:r>
          </w:p>
        </w:tc>
        <w:tc>
          <w:tcPr>
            <w:tcW w:type="dxa" w:w="318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$240,000/year in ordinary income to Mario</w:t>
            </w:r>
          </w:p>
        </w:tc>
        <w:tc>
          <w:tcPr>
            <w:tcW w:type="dxa" w:w="318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$0</w:t>
            </w:r>
          </w:p>
        </w:tc>
      </w:tr>
      <w:tr>
        <w:tc>
          <w:tcPr>
            <w:tcW w:type="dxa" w:w="30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Net benefit of new structure</w:t>
            </w:r>
          </w:p>
        </w:tc>
        <w:tc>
          <w:tcPr>
            <w:tcW w:type="dxa" w:w="318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w:t>
            </w:r>
          </w:p>
        </w:tc>
        <w:tc>
          <w:tcPr>
            <w:tcW w:type="dxa" w:w="318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Eliminates $240,000/year of unnecessary ordinary income for Mario</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5.3 LLC Distribution Waterfall — Priority Order</w:t>
      </w:r>
    </w:p>
    <w:p>
      <w:pPr>
        <w:spacing w:after="60" w:before="60"/>
      </w:pPr>
      <w:r>
        <w:rPr>
          <w:rFonts w:ascii="Arial" w:cs="Arial" w:eastAsia="Arial" w:hAnsi="Arial"/>
          <w:color w:val="1A1A1A"/>
          <w:sz w:val="20"/>
          <w:szCs w:val="20"/>
        </w:rPr>
        <w:t xml:space="preserve">All available LLC cash is distributed in the following mandatory order:</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40"/>
        <w:gridCol w:w="1680"/>
        <w:gridCol w:w="2040"/>
        <w:gridCol w:w="5200"/>
      </w:tblGrid>
      <w:tr>
        <w:trPr>
          <w:tblHeader/>
        </w:trPr>
        <w:tc>
          <w:tcPr>
            <w:tcW w:type="dxa" w:w="4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Priority</w:t>
            </w:r>
          </w:p>
        </w:tc>
        <w:tc>
          <w:tcPr>
            <w:tcW w:type="dxa" w:w="2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Recipient</w:t>
            </w:r>
          </w:p>
        </w:tc>
        <w:tc>
          <w:tcPr>
            <w:tcW w:type="dxa" w:w="5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Description</w:t>
            </w:r>
          </w:p>
        </w:tc>
      </w:tr>
      <w:tr>
        <w:tc>
          <w:tcPr>
            <w:tcW w:type="dxa" w:w="4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FIRST — Mandatory</w:t>
            </w:r>
          </w:p>
        </w:tc>
        <w:tc>
          <w:tcPr>
            <w:tcW w:type="dxa" w:w="2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Senior lender</w:t>
            </w:r>
          </w:p>
        </w:tc>
        <w:tc>
          <w:tcPr>
            <w:tcW w:type="dxa" w:w="5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All scheduled bank debt service (~$643K/yr = ~$64,430/mo). Non-discretionary LLC obligation.</w:t>
            </w:r>
          </w:p>
        </w:tc>
      </w:tr>
      <w:tr>
        <w:tc>
          <w:tcPr>
            <w:tcW w:type="dxa" w:w="4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SECOND — Required</w:t>
            </w:r>
          </w:p>
        </w:tc>
        <w:tc>
          <w:tcPr>
            <w:tcW w:type="dxa" w:w="2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All members (tax)</w:t>
            </w:r>
          </w:p>
        </w:tc>
        <w:tc>
          <w:tcPr>
            <w:tcW w:type="dxa" w:w="5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Quarterly tax distributions at Assumed Tax Rate (~30-35%) on allocated taxable income. Cannot be waived.</w:t>
            </w:r>
          </w:p>
        </w:tc>
      </w:tr>
      <w:tr>
        <w:tc>
          <w:tcPr>
            <w:tcW w:type="dxa" w:w="4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THIRD — Floor</w:t>
            </w:r>
          </w:p>
        </w:tc>
        <w:tc>
          <w:tcPr>
            <w:tcW w:type="dxa" w:w="2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Company reserve</w:t>
            </w:r>
          </w:p>
        </w:tc>
        <w:tc>
          <w:tcPr>
            <w:tcW w:type="dxa" w:w="5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Minimum $100,000 working capital reserve maintained annually. Managers determine amount.</w:t>
            </w:r>
          </w:p>
        </w:tc>
      </w:tr>
      <w:tr>
        <w:tc>
          <w:tcPr>
            <w:tcW w:type="dxa" w:w="4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FOURTH — ECF sweep</w:t>
            </w:r>
          </w:p>
        </w:tc>
        <w:tc>
          <w:tcPr>
            <w:tcW w:type="dxa" w:w="2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Note principal</w:t>
            </w:r>
          </w:p>
        </w:tc>
        <w:tc>
          <w:tcPr>
            <w:tcW w:type="dxa" w:w="5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 of Excess Cash Flow (from B&amp;O's combined 49% share only) applied to Seller Note principal acceleration within 60 days of fiscal year-end.</w:t>
            </w:r>
          </w:p>
        </w:tc>
      </w:tr>
      <w:tr>
        <w:tc>
          <w:tcPr>
            <w:tcW w:type="dxa" w:w="4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FIFTH — Pro-rata</w:t>
            </w:r>
          </w:p>
        </w:tc>
        <w:tc>
          <w:tcPr>
            <w:tcW w:type="dxa" w:w="2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All members</w:t>
            </w:r>
          </w:p>
        </w:tc>
        <w:tc>
          <w:tcPr>
            <w:tcW w:type="dxa" w:w="5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Remaining Available Cash distributed to all members in proportion to equity: Mario 51% / Benito 24.5% / Oscar 24.5%.</w:t>
            </w:r>
          </w:p>
        </w:tc>
      </w:tr>
      <w:tr>
        <w:tc>
          <w:tcPr>
            <w:tcW w:type="dxa" w:w="4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6</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POST-DISTRIBUTION</w:t>
            </w:r>
          </w:p>
        </w:tc>
        <w:tc>
          <w:tcPr>
            <w:tcW w:type="dxa" w:w="2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Benito, Oscar &amp; Mario</w:t>
            </w:r>
          </w:p>
        </w:tc>
        <w:tc>
          <w:tcPr>
            <w:tcW w:type="dxa" w:w="5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Each partner remits their negotiated note share to Seller from their personal distribution: Benito 45.27% ($8,371/mo) / Oscar 45.27% ($8,371/mo) / Mario 9.47% ($1,751/mo). This is a partner-level obligation, not an LLC expense.</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5.4 Real Financial Data — Distribution Feasibility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val="false"/>
                <w:bCs w:val="false"/>
                <w:color w:val="27500A"/>
                <w:sz w:val="20"/>
                <w:szCs w:val="20"/>
              </w:rPr>
              <w:t xml:space="preserve">Based on actual consolidated P&amp;L: Revenue $9,053,013 | EBITDA $1,741,680 | After bank &amp; taxes: ~$55,000/month available for distribution vs. $34,167/month minimum required. Coverage ratio: 1.58x.</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560"/>
        <w:gridCol w:w="1560"/>
        <w:gridCol w:w="1560"/>
        <w:gridCol w:w="1680"/>
      </w:tblGrid>
      <w:tr>
        <w:trPr>
          <w:tblHeader/>
        </w:trPr>
        <w:tc>
          <w:tcPr>
            <w:tcW w:type="dxa" w:w="3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Line Item</w:t>
            </w:r>
          </w:p>
        </w:tc>
        <w:tc>
          <w:tcPr>
            <w:tcW w:type="dxa" w:w="1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Q1 Actual</w:t>
            </w:r>
          </w:p>
        </w:tc>
        <w:tc>
          <w:tcPr>
            <w:tcW w:type="dxa" w:w="1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Q2 Actual</w:t>
            </w:r>
          </w:p>
        </w:tc>
        <w:tc>
          <w:tcPr>
            <w:tcW w:type="dxa" w:w="1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Q3 Actual</w:t>
            </w:r>
          </w:p>
        </w:tc>
        <w:tc>
          <w:tcPr>
            <w:tcW w:type="dxa" w:w="16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Q4 Actual</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Revenue</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$2,247,080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$1,866,460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$2,670,367</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$2,269,106</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EBITDA (before bank)</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$889,238</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$418,489</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$133,079</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$300,874</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Less: New bank (6.00%/25yr)</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($160,750)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($160,750)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($160,750)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($160,750)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Less: Tax distributions (30%)</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($218,543)</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($77,322)</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($42,037)</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Less: WC reserve</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($25,000)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($25,000)</w:t>
            </w:r>
          </w:p>
        </w:tc>
        <w:tc>
          <w:tcPr>
            <w:tcW w:type="dxa" w:w="15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($25,000)</w:t>
            </w:r>
          </w:p>
        </w:tc>
        <w:tc>
          <w:tcPr>
            <w:tcW w:type="dxa" w:w="16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($25,000)</w:t>
            </w:r>
          </w:p>
        </w:tc>
      </w:tr>
      <w:tr>
        <w:tc>
          <w:tcPr>
            <w:tcW w:type="dxa" w:w="3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Available for distribution</w:t>
            </w:r>
          </w:p>
        </w:tc>
        <w:tc>
          <w:tcPr>
            <w:tcW w:type="dxa" w:w="15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$484,945</w:t>
            </w:r>
          </w:p>
        </w:tc>
        <w:tc>
          <w:tcPr>
            <w:tcW w:type="dxa" w:w="15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$155,417</w:t>
            </w:r>
          </w:p>
        </w:tc>
        <w:tc>
          <w:tcPr>
            <w:tcW w:type="dxa" w:w="15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($52,671)*</w:t>
            </w:r>
          </w:p>
        </w:tc>
        <w:tc>
          <w:tcPr>
            <w:tcW w:type="dxa" w:w="168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$73,087</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Minimum needed for note</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($90,612)</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($90,612)</w:t>
            </w:r>
          </w:p>
        </w:tc>
        <w:tc>
          <w:tcPr>
            <w:tcW w:type="dxa" w:w="15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($90,612)</w:t>
            </w:r>
          </w:p>
        </w:tc>
        <w:tc>
          <w:tcPr>
            <w:tcW w:type="dxa" w:w="16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($90,612)</w:t>
            </w:r>
          </w:p>
        </w:tc>
      </w:tr>
      <w:tr>
        <w:tc>
          <w:tcPr>
            <w:tcW w:type="dxa" w:w="30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Surplus / (Shortfall)</w:t>
            </w:r>
          </w:p>
        </w:tc>
        <w:tc>
          <w:tcPr>
            <w:tcW w:type="dxa" w:w="15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$394,333</w:t>
            </w:r>
          </w:p>
        </w:tc>
        <w:tc>
          <w:tcPr>
            <w:tcW w:type="dxa" w:w="15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$64,805</w:t>
            </w:r>
          </w:p>
        </w:tc>
        <w:tc>
          <w:tcPr>
            <w:tcW w:type="dxa" w:w="15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($143,283)*</w:t>
            </w:r>
          </w:p>
        </w:tc>
        <w:tc>
          <w:tcPr>
            <w:tcW w:type="dxa" w:w="168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($17,525)*</w:t>
            </w:r>
          </w:p>
        </w:tc>
      </w:tr>
    </w:tbl>
    <w:p>
      <w:pPr>
        <w:spacing w:after="0" w:before="60"/>
      </w:pPr>
      <w:r>
        <w:t xml:space="preserve"/>
      </w:r>
    </w:p>
    <w:p>
      <w:pPr>
        <w:spacing w:after="60" w:before="60"/>
      </w:pPr>
      <w:r>
        <w:rPr>
          <w:rFonts w:ascii="Arial" w:cs="Arial" w:eastAsia="Arial" w:hAnsi="Arial"/>
          <w:i/>
          <w:iCs/>
          <w:color w:val="595959"/>
          <w:sz w:val="18"/>
          <w:szCs w:val="18"/>
        </w:rPr>
        <w:t xml:space="preserve">* Q3 and Q4 show seasonal shortfalls due to the business's revenue concentration in H1. Benito and Oscar must maintain a personal cash reserve of approximately $75,000–$100,000 to cover the Seller Note in low-distribution months. This is a critical operational planning item. Alternatively, the OA may allow note payment deferrals in months below the $34,167 distribution threshold, subject to Seller consent.</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5.5 Required OA Language — Partner Note Obligation</w:t>
      </w:r>
    </w:p>
    <w:p>
      <w:pPr>
        <w:spacing w:after="60" w:before="60"/>
      </w:pPr>
      <w:r>
        <w:rPr>
          <w:rFonts w:ascii="Arial" w:cs="Arial" w:eastAsia="Arial" w:hAnsi="Arial"/>
          <w:color w:val="1A1A1A"/>
          <w:sz w:val="20"/>
          <w:szCs w:val="20"/>
        </w:rPr>
        <w:t xml:space="preserve">The Amended and Restated Operating Agreement must include the following provision to document the partner-level note payment mechanism:</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7F6" w:val="clear"/>
            <w:tcMar>
              <w:top w:type="dxa" w:w="120"/>
              <w:left w:type="dxa" w:w="180"/>
              <w:bottom w:type="dxa" w:w="120"/>
              <w:right w:type="dxa" w:w="180"/>
            </w:tcMar>
          </w:tcPr>
          <w:p>
            <w:r>
              <w:rPr>
                <w:rFonts w:ascii="Arial" w:cs="Arial" w:eastAsia="Arial" w:hAnsi="Arial"/>
                <w:b w:val="false"/>
                <w:bCs w:val="false"/>
                <w:color w:val="3C3489"/>
                <w:sz w:val="20"/>
                <w:szCs w:val="20"/>
              </w:rPr>
              <w:t xml:space="preserve">Section [X].7 — Partner Seller Note Obligation. The parties acknowledge that the Seller Financing Promissory Note dated [Closing Date] (the "Seller Note") is an obligation of the Company. However, pursuant to the negotiated agreement among the Members, each of the following Members agrees to personally remit to the Seller their respective allocated share of each monthly Seller Note payment, from their individual distributions received under Section [X].2(e): (a) Benito [Last Name]: 45.27% of each scheduled payment (~$8,371/month); (b) Oscar [Last Name]: 45.27% of each scheduled payment (~$8,371/month); (c) Mario [Last Name]: 9.47% of each scheduled payment (~$1,751/month). This obligation is several and not joint. Failure by any Member to make their allocated remittance constitutes a breach of this Agreement and activates the cross-default remedies of Section [X].8, but does not relieve the Company of its obligations to the Seller under the Seller Note.</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5.6 Member Recourse Obligations (OA Section [X].6)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CE4D6" w:val="clear"/>
            <w:tcMar>
              <w:top w:type="dxa" w:w="120"/>
              <w:left w:type="dxa" w:w="180"/>
              <w:bottom w:type="dxa" w:w="120"/>
              <w:right w:type="dxa" w:w="180"/>
            </w:tcMar>
          </w:tcPr>
          <w:p>
            <w:r>
              <w:rPr>
                <w:rFonts w:ascii="Arial" w:cs="Arial" w:eastAsia="Arial" w:hAnsi="Arial"/>
                <w:b w:val="false"/>
                <w:bCs w:val="false"/>
                <w:color w:val="791F1F"/>
                <w:sz w:val="20"/>
                <w:szCs w:val="20"/>
              </w:rPr>
              <w:t xml:space="preserve">If distributions are insufficient to satisfy any Member's note payment obligation under Section [X].7, each Member remains personally responsible for their allocated share per the Guarantee Agreement: Benito 45.27% ($1,131,667 initial max) / Oscar 45.27% ($1,131,667 initial max) / Mario 9.47% ($236,667 initial max). Obligations are several and not joint.</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6. Seller Note — Key Terms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rPr>
          <w:tblHeader/>
        </w:trPr>
        <w:tc>
          <w:tcPr>
            <w:tcW w:type="dxa" w:w="3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Term</w:t>
            </w:r>
          </w:p>
        </w:tc>
        <w:tc>
          <w:tcPr>
            <w:tcW w:type="dxa" w:w="61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Detail</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Principal</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$2,500,000</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Interest rate</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4.00% per annum (fixed)</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Amortization</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15 years (monthly principal + interest)</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Est. monthly payment</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~$18,500 / month (~$222,000 / year)</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Payment mechanism</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Partners pay from personal distributions — NOT a direct LLC expense. See Section 5.</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Prepayment</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At any time, in whole or in part, without penalty</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ECF sweep</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 of annual Excess Cash Flow applied to principal within 60 days of fiscal year-end</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Repayment objective</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Full repayment within approximately 5 years (not a default if not achieved)</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Year 5+ rate adjustment</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Adjusted to prevailing market rate for comparable subordinated debt if not fully repaid</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Grace period</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Up to 6 months suspension (max 2 uses total) if Company fails break-even test for 12 consecutive months. Deferred amounts repaid over 24 months at contractual rate.</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Security</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(i) Second priority lien on Company real estate, subordinated to senior lender; (ii) pledge of purchasing partners' equity interests; (iii) limited personal guarantees per Section 4</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Anti-flip protection</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Seller participates in value realized above $17.5M enterprise value baseline for 5 years post-closing. Capped at independent appraisal value. Terminates upon full Note repayment.</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AFR compliance</w:t>
            </w:r>
          </w:p>
        </w:tc>
        <w:tc>
          <w:tcPr>
            <w:tcW w:type="dxa" w:w="61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Confirm 4.00% rate is at or above IRS Applicable Federal Rate on closing date. CPA to verify.</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Majority partner exit restriction</w:t>
            </w:r>
          </w:p>
        </w:tc>
        <w:tc>
          <w:tcPr>
            <w:tcW w:type="dxa" w:w="61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 [Last Name] may not exit Company until Seller Note is fully repaid. Waivable only with Seller consent.</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7. Five-Year Cash Flow Model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val="false"/>
                <w:bCs w:val="false"/>
                <w:color w:val="0C447C"/>
                <w:sz w:val="20"/>
                <w:szCs w:val="20"/>
              </w:rPr>
              <w:t xml:space="preserve">Based on ACTUAL P&amp;L: EBITDA Year 1 = $1,741,680 | Bank debt service = $773,160/yr | Tax rate = 30% | WC reserve = $100,000/yr | Seller Note NOT deducted at LLC level — paid by partners from their personal distributions</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7.1 LLC-Level Cash Flow (Corporate Obligations Only)</w:t>
      </w:r>
    </w:p>
    <w:p>
      <w:pPr>
        <w:spacing w:after="60" w:before="60"/>
      </w:pPr>
      <w:r>
        <w:rPr>
          <w:rFonts w:ascii="Arial" w:cs="Arial" w:eastAsia="Arial" w:hAnsi="Arial"/>
          <w:color w:val="1A1A1A"/>
          <w:sz w:val="20"/>
          <w:szCs w:val="20"/>
        </w:rPr>
        <w:t xml:space="preserve">The LLC cash flow no longer includes the Seller Note as a corporate deduction. Only the bank loan is a corporate obligation. This significantly improves available distribution capacity and LLC DSCR.</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60"/>
        <w:gridCol w:w="1320"/>
        <w:gridCol w:w="1320"/>
        <w:gridCol w:w="1320"/>
        <w:gridCol w:w="1320"/>
        <w:gridCol w:w="1320"/>
      </w:tblGrid>
      <w:tr>
        <w:trPr>
          <w:tblHeader/>
        </w:trPr>
        <w:tc>
          <w:tcPr>
            <w:tcW w:type="dxa" w:w="27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Line Item</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1</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2</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3</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4</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5</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EBITDA (actual base)</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$1,741,680</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$1,828,764</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$1,920,202</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$2,016,212</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$2,117,023</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Less: Senior bank (6.00%/25yr)</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($773,160)</w:t>
            </w:r>
          </w:p>
        </w:tc>
      </w:tr>
      <w:tr>
        <w:tc>
          <w:tcPr>
            <w:tcW w:type="dxa" w:w="27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Less: Tax distributions (~30%)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($329,000)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($356,000)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($384,000)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($413,000)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($443,000)</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Less: WC reserve</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r>
      <w:tr>
        <w:tc>
          <w:tcPr>
            <w:tcW w:type="dxa" w:w="27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 Available for distribution</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$539,520</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$599,604</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$663,042</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$730,052</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$800,863</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Less: 20% ECF sweep (B&amp;O 49% only)</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($65,477)</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($71,335)</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($77,533)</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($84,101)</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($91,060)</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 Total distributed to partners</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$486,636</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$540,862</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$598,102</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$658,544</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$722,396</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7.2 Partner-Level Distribution &amp; Note Payment</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60"/>
        <w:gridCol w:w="1320"/>
        <w:gridCol w:w="1320"/>
        <w:gridCol w:w="1320"/>
        <w:gridCol w:w="1320"/>
        <w:gridCol w:w="1320"/>
      </w:tblGrid>
      <w:tr>
        <w:trPr>
          <w:tblHeader/>
        </w:trPr>
        <w:tc>
          <w:tcPr>
            <w:tcW w:type="dxa" w:w="27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Partner Flow</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1</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2</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3</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4</w:t>
            </w:r>
          </w:p>
        </w:tc>
        <w:tc>
          <w:tcPr>
            <w:tcW w:type="dxa" w:w="132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5</w:t>
            </w:r>
          </w:p>
        </w:tc>
      </w:tr>
      <w:tr>
        <w:tc>
          <w:tcPr>
            <w:tcW w:type="dxa" w:w="27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MARIO (51%) — Distribution received</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$308,144</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$335,799</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$364,991</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$395,817</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$428,381</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Mario — Note payment (9.47% of $222K/yr = $21,007/yr)</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($21,007)</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($21,007)</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($21,007)</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($21,007)</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($21,007)</w:t>
            </w:r>
          </w:p>
        </w:tc>
      </w:tr>
      <w:tr>
        <w:tc>
          <w:tcPr>
            <w:tcW w:type="dxa" w:w="27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Mario — Net cash in pocket</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$263,744</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$291,399</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$320,591</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$351,417</w:t>
            </w:r>
          </w:p>
        </w:tc>
        <w:tc>
          <w:tcPr>
            <w:tcW w:type="dxa" w:w="132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$383,981</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BENITO (24.5%) — Distribution received</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$148,030</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$161,315</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$175,289</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$190,147</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$205,791</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Benito — Note payment (45.27% of $222K/yr = $100,454/yr)</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Benito — Net cash in pocket</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$59,230</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$72,515</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$86,489</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$101,347</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$116,991</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OSCAR (24.5%) — Distribution received</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$148,030</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$161,315</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$175,289</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$190,147</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color w:val="1A1A1A"/>
                <w:sz w:val="19"/>
                <w:szCs w:val="19"/>
              </w:rPr>
              <w:t xml:space="preserve">$205,791</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Oscar — Note payment (45.27% of $222K/yr = $100,454/yr)</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c>
          <w:tcPr>
            <w:tcW w:type="dxa" w:w="1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($100,454)</w:t>
            </w:r>
          </w:p>
        </w:tc>
      </w:tr>
      <w:tr>
        <w:tc>
          <w:tcPr>
            <w:tcW w:type="dxa" w:w="27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Oscar — Net cash in pocket</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$59,230</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$72,515</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$86,489</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$101,347</w:t>
            </w:r>
          </w:p>
        </w:tc>
        <w:tc>
          <w:tcPr>
            <w:tcW w:type="dxa" w:w="132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$116,991</w:t>
            </w:r>
          </w:p>
        </w:tc>
      </w:tr>
      <w:tr>
        <w:tc>
          <w:tcPr>
            <w:tcW w:type="dxa" w:w="27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Total Seller Note paid (all partners)</w:t>
            </w:r>
          </w:p>
        </w:tc>
        <w:tc>
          <w:tcPr>
            <w:tcW w:type="dxa" w:w="132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$222,000</w:t>
            </w:r>
          </w:p>
        </w:tc>
        <w:tc>
          <w:tcPr>
            <w:tcW w:type="dxa" w:w="132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$222,000</w:t>
            </w:r>
          </w:p>
        </w:tc>
        <w:tc>
          <w:tcPr>
            <w:tcW w:type="dxa" w:w="132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$222,000</w:t>
            </w:r>
          </w:p>
        </w:tc>
        <w:tc>
          <w:tcPr>
            <w:tcW w:type="dxa" w:w="132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$222,000</w:t>
            </w:r>
          </w:p>
        </w:tc>
        <w:tc>
          <w:tcPr>
            <w:tcW w:type="dxa" w:w="132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$222,000</w:t>
            </w:r>
          </w:p>
        </w:tc>
      </w:tr>
      <w:tr>
        <w:tc>
          <w:tcPr>
            <w:tcW w:type="dxa" w:w="27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Est. Seller Note balance (yr-end)</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~$2,278,000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~$2,056,000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~$1,834,000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~$1,612,000</w:t>
            </w:r>
          </w:p>
        </w:tc>
        <w:tc>
          <w:tcPr>
            <w:tcW w:type="dxa" w:w="1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~$1,390,000</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7.3 LLC DSCR — Bank Only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232"/>
        <w:gridCol w:w="1232"/>
        <w:gridCol w:w="1232"/>
        <w:gridCol w:w="1232"/>
        <w:gridCol w:w="1232"/>
      </w:tblGrid>
      <w:tr>
        <w:trPr>
          <w:tblHeader/>
        </w:trPr>
        <w:tc>
          <w:tcPr>
            <w:tcW w:type="dxa" w:w="3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Metric</w:t>
            </w:r>
          </w:p>
        </w:tc>
        <w:tc>
          <w:tcPr>
            <w:tcW w:type="dxa" w:w="1232"/>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1</w:t>
            </w:r>
          </w:p>
        </w:tc>
        <w:tc>
          <w:tcPr>
            <w:tcW w:type="dxa" w:w="1232"/>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2</w:t>
            </w:r>
          </w:p>
        </w:tc>
        <w:tc>
          <w:tcPr>
            <w:tcW w:type="dxa" w:w="1232"/>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3</w:t>
            </w:r>
          </w:p>
        </w:tc>
        <w:tc>
          <w:tcPr>
            <w:tcW w:type="dxa" w:w="1232"/>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4</w:t>
            </w:r>
          </w:p>
        </w:tc>
        <w:tc>
          <w:tcPr>
            <w:tcW w:type="dxa" w:w="1232"/>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Year 5</w:t>
            </w:r>
          </w:p>
        </w:tc>
      </w:tr>
      <w:tr>
        <w:tc>
          <w:tcPr>
            <w:tcW w:type="dxa" w:w="3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EBITDA</w:t>
            </w:r>
          </w:p>
        </w:tc>
        <w:tc>
          <w:tcPr>
            <w:tcW w:type="dxa" w:w="1232"/>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$1,741,680</w:t>
            </w:r>
          </w:p>
        </w:tc>
        <w:tc>
          <w:tcPr>
            <w:tcW w:type="dxa" w:w="1232"/>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$1,828,764</w:t>
            </w:r>
          </w:p>
        </w:tc>
        <w:tc>
          <w:tcPr>
            <w:tcW w:type="dxa" w:w="1232"/>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$1,920,202</w:t>
            </w:r>
          </w:p>
        </w:tc>
        <w:tc>
          <w:tcPr>
            <w:tcW w:type="dxa" w:w="1232"/>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$2,016,212</w:t>
            </w:r>
          </w:p>
        </w:tc>
        <w:tc>
          <w:tcPr>
            <w:tcW w:type="dxa" w:w="1232"/>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$2,117,023</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Bank debt service (corporate only)</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$773,160</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$773,160</w:t>
            </w:r>
          </w:p>
        </w:tc>
      </w:tr>
      <w:tr>
        <w:tc>
          <w:tcPr>
            <w:tcW w:type="dxa" w:w="32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DSCR — Bank only</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2.25x</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2.36x</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2.48x</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2.61x</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2.74x</w:t>
            </w:r>
          </w:p>
        </w:tc>
      </w:tr>
      <w:tr>
        <w:tc>
          <w:tcPr>
            <w:tcW w:type="dxa" w:w="3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Bank covenant minimum</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1.25x</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1.25x</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1.25x</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1.25x</w:t>
            </w:r>
          </w:p>
        </w:tc>
        <w:tc>
          <w:tcPr>
            <w:tcW w:type="dxa" w:w="1232"/>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1.25x</w:t>
            </w:r>
          </w:p>
        </w:tc>
      </w:tr>
      <w:tr>
        <w:tc>
          <w:tcPr>
            <w:tcW w:type="dxa" w:w="32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Status</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PASS</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PASS</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PASS</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PASS</w:t>
            </w:r>
          </w:p>
        </w:tc>
        <w:tc>
          <w:tcPr>
            <w:tcW w:type="dxa" w:w="1232"/>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b/>
                <w:bCs/>
                <w:color w:val="1A1A1A"/>
                <w:sz w:val="19"/>
                <w:szCs w:val="19"/>
              </w:rPr>
              <w:t xml:space="preserve">PASS</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val="false"/>
                <w:bCs w:val="false"/>
                <w:color w:val="27500A"/>
                <w:sz w:val="20"/>
                <w:szCs w:val="20"/>
              </w:rPr>
              <w:t xml:space="preserve">DSCR IMPROVEMENT: By removing the Seller Note from LLC corporate debt service, DSCR improves from 2.11x to 2.25x in Year 1. The bank sees a cleaner, stronger balance sheet. The Seller Note risk sits at the partner level, documented in the OA and Guarantee Agreement.</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7.4 Seasonal Risk &amp; Minimum Distribution Threshold</w:t>
      </w:r>
    </w:p>
    <w:p>
      <w:pPr>
        <w:spacing w:after="60" w:before="60"/>
      </w:pPr>
      <w:r>
        <w:rPr>
          <w:rFonts w:ascii="Arial" w:cs="Arial" w:eastAsia="Arial" w:hAnsi="Arial"/>
          <w:color w:val="1A1A1A"/>
          <w:sz w:val="20"/>
          <w:szCs w:val="20"/>
        </w:rPr>
        <w:t xml:space="preserve">The LLC must distribute at least $34,167/month for all three partners to cover their full Seller Note obligations from distributions alone. Based on actual P&amp;L, 7 out of 12 months show insufficient distributions, requiring a personal buffer.</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60"/>
        <w:gridCol w:w="1040"/>
        <w:gridCol w:w="1040"/>
        <w:gridCol w:w="1040"/>
        <w:gridCol w:w="1040"/>
        <w:gridCol w:w="1040"/>
        <w:gridCol w:w="1040"/>
      </w:tblGrid>
      <w:tr>
        <w:trPr>
          <w:tblHeader/>
        </w:trPr>
        <w:tc>
          <w:tcPr>
            <w:tcW w:type="dxa" w:w="27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Jan</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Feb</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Mar</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Apr</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May</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Jun</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Est. monthly distribution avail.</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$35,800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$55,200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$43,700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r>
      <w:tr>
        <w:tc>
          <w:tcPr>
            <w:tcW w:type="dxa" w:w="27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Min. needed ($34,167)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r>
      <w:tr>
        <w:tc>
          <w:tcPr>
            <w:tcW w:type="dxa" w:w="27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Status</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OK</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OK</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OK</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r>
    </w:tbl>
    <w:p>
      <w:pPr>
        <w:spacing w:after="0" w:before="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60"/>
        <w:gridCol w:w="1040"/>
        <w:gridCol w:w="1040"/>
        <w:gridCol w:w="1040"/>
        <w:gridCol w:w="1040"/>
        <w:gridCol w:w="1040"/>
        <w:gridCol w:w="1040"/>
      </w:tblGrid>
      <w:tr>
        <w:trPr>
          <w:tblHeader/>
        </w:trPr>
        <w:tc>
          <w:tcPr>
            <w:tcW w:type="dxa" w:w="27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Jul</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Aug</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Sep</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Oct</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Nov</w:t>
            </w:r>
          </w:p>
        </w:tc>
        <w:tc>
          <w:tcPr>
            <w:tcW w:type="dxa" w:w="104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Dec</w:t>
            </w:r>
          </w:p>
        </w:tc>
      </w:tr>
      <w:tr>
        <w:tc>
          <w:tcPr>
            <w:tcW w:type="dxa" w:w="27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Est. monthly distribution avail.</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$11,900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$13,700</w:t>
            </w:r>
          </w:p>
        </w:tc>
        <w:tc>
          <w:tcPr>
            <w:tcW w:type="dxa" w:w="104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$0</w:t>
            </w:r>
          </w:p>
        </w:tc>
      </w:tr>
      <w:tr>
        <w:tc>
          <w:tcPr>
            <w:tcW w:type="dxa" w:w="27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Min. needed ($34,167)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c>
          <w:tcPr>
            <w:tcW w:type="dxa" w:w="104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$34,167</w:t>
            </w:r>
          </w:p>
        </w:tc>
      </w:tr>
      <w:tr>
        <w:tc>
          <w:tcPr>
            <w:tcW w:type="dxa" w:w="27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Status</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c>
          <w:tcPr>
            <w:tcW w:type="dxa" w:w="104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b/>
                <w:bCs/>
                <w:color w:val="1A1A1A"/>
                <w:sz w:val="19"/>
                <w:szCs w:val="19"/>
              </w:rPr>
              <w:t xml:space="preserve">⚠ DEFICIT</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2CC" w:val="clear"/>
            <w:tcMar>
              <w:top w:type="dxa" w:w="120"/>
              <w:left w:type="dxa" w:w="180"/>
              <w:bottom w:type="dxa" w:w="120"/>
              <w:right w:type="dxa" w:w="180"/>
            </w:tcMar>
          </w:tcPr>
          <w:p>
            <w:r>
              <w:rPr>
                <w:rFonts w:ascii="Arial" w:cs="Arial" w:eastAsia="Arial" w:hAnsi="Arial"/>
                <w:b w:val="false"/>
                <w:bCs w:val="false"/>
                <w:color w:val="633806"/>
                <w:sz w:val="20"/>
                <w:szCs w:val="20"/>
              </w:rPr>
              <w:t xml:space="preserve">RECOMMENDATION: Benito and Oscar must maintain a personal liquidity reserve of $75,000–$100,000 to cover the Seller Note in low-distribution months (primarily Q3 and Q4). This reserve is funded from H1 surplus distributions. The OA should include a provision allowing note payment deferral in months where LLC distributions fall below the $34,167 threshold, subject to Seller written consent.</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8. Tax Analysis &amp; IRS Risk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2F0D9" w:val="clear"/>
            <w:tcMar>
              <w:top w:type="dxa" w:w="120"/>
              <w:left w:type="dxa" w:w="180"/>
              <w:bottom w:type="dxa" w:w="120"/>
              <w:right w:type="dxa" w:w="180"/>
            </w:tcMar>
          </w:tcPr>
          <w:p>
            <w:r>
              <w:rPr>
                <w:rFonts w:ascii="Arial" w:cs="Arial" w:eastAsia="Arial" w:hAnsi="Arial"/>
                <w:b/>
                <w:bCs/>
                <w:color w:val="27500A"/>
                <w:sz w:val="20"/>
                <w:szCs w:val="20"/>
              </w:rPr>
              <w:t xml:space="preserve">OBJECTIVE: $0 taxable income for Benito, Oscar, and Mario at closing. Equity acquired through economic risk assumption — not as compensation.</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8.1 IRC §721 — Non-Recognition at Partnership Entry</w:t>
      </w:r>
    </w:p>
    <w:p>
      <w:pPr>
        <w:spacing w:after="60" w:before="60"/>
      </w:pPr>
      <w:r>
        <w:rPr>
          <w:rFonts w:ascii="Arial" w:cs="Arial" w:eastAsia="Arial" w:hAnsi="Arial"/>
          <w:color w:val="1A1A1A"/>
          <w:sz w:val="20"/>
          <w:szCs w:val="20"/>
        </w:rPr>
        <w:t xml:space="preserve">Section 721 provides that no gain or loss is recognized when a partner contributes property (including cash and assumption of obligations) to a partnership in exchange for a partnership interest. In this Leveraged Recapitalization, each entering partner contributes: (1) cash from personal funds, and (2) personal guarantee obligations. If properly structured and documented, §721 protects the entire equity transfer from taxation at closing.</w:t>
      </w:r>
    </w:p>
    <w:p>
      <w:pPr>
        <w:spacing w:after="0" w:before="60"/>
      </w:pPr>
      <w:r>
        <w:t xml:space="preserve"/>
      </w:r>
    </w:p>
    <w:p>
      <w:pPr>
        <w:spacing w:after="60" w:before="60"/>
      </w:pPr>
      <w:r>
        <w:rPr>
          <w:rFonts w:ascii="Arial" w:cs="Arial" w:eastAsia="Arial" w:hAnsi="Arial"/>
          <w:b/>
          <w:bCs/>
          <w:color w:val="1A1A1A"/>
          <w:sz w:val="20"/>
          <w:szCs w:val="20"/>
        </w:rPr>
        <w:t xml:space="preserve">Critical requirements for §721 protection:</w:t>
      </w:r>
    </w:p>
    <w:p>
      <w:pPr>
        <w:pStyle w:val="ListParagraph"/>
        <w:numPr>
          <w:ilvl w:val="0"/>
          <w:numId w:val="2"/>
        </w:numPr>
        <w:spacing w:after="40" w:before="40"/>
      </w:pPr>
      <w:r>
        <w:rPr>
          <w:rFonts w:ascii="Arial" w:cs="Arial" w:eastAsia="Arial" w:hAnsi="Arial"/>
          <w:color w:val="1A1A1A"/>
          <w:sz w:val="20"/>
          <w:szCs w:val="20"/>
        </w:rPr>
        <w:t xml:space="preserve">Equity received as consideration for real contribution — not for services rendered.</w:t>
      </w:r>
    </w:p>
    <w:p>
      <w:pPr>
        <w:pStyle w:val="ListParagraph"/>
        <w:numPr>
          <w:ilvl w:val="0"/>
          <w:numId w:val="2"/>
        </w:numPr>
        <w:spacing w:after="40" w:before="40"/>
      </w:pPr>
      <w:r>
        <w:rPr>
          <w:rFonts w:ascii="Arial" w:cs="Arial" w:eastAsia="Arial" w:hAnsi="Arial"/>
          <w:color w:val="1A1A1A"/>
          <w:sz w:val="20"/>
          <w:szCs w:val="20"/>
        </w:rPr>
        <w:t xml:space="preserve">No vesting schedules, performance conditions, or service-based triggers on the equity.</w:t>
      </w:r>
    </w:p>
    <w:p>
      <w:pPr>
        <w:pStyle w:val="ListParagraph"/>
        <w:numPr>
          <w:ilvl w:val="0"/>
          <w:numId w:val="2"/>
        </w:numPr>
        <w:spacing w:after="40" w:before="40"/>
      </w:pPr>
      <w:r>
        <w:rPr>
          <w:rFonts w:ascii="Arial" w:cs="Arial" w:eastAsia="Arial" w:hAnsi="Arial"/>
          <w:color w:val="1A1A1A"/>
          <w:sz w:val="20"/>
          <w:szCs w:val="20"/>
        </w:rPr>
        <w:t xml:space="preserve">Operating Agreement must describe transfer as 'acquisition for consideration' — never 'bonus,' 'incentive,' or 'compensation.'</w:t>
      </w:r>
    </w:p>
    <w:p>
      <w:pPr>
        <w:pStyle w:val="ListParagraph"/>
        <w:numPr>
          <w:ilvl w:val="0"/>
          <w:numId w:val="2"/>
        </w:numPr>
        <w:spacing w:after="40" w:before="40"/>
      </w:pPr>
      <w:r>
        <w:rPr>
          <w:rFonts w:ascii="Arial" w:cs="Arial" w:eastAsia="Arial" w:hAnsi="Arial"/>
          <w:color w:val="1A1A1A"/>
          <w:sz w:val="20"/>
          <w:szCs w:val="20"/>
        </w:rPr>
        <w:t xml:space="preserve">Single-step closing — all documents executed simultaneously.</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8.2 IRC §752 — Basis Credit for Guaranteed Debt</w:t>
      </w:r>
    </w:p>
    <w:p>
      <w:pPr>
        <w:spacing w:after="60" w:before="60"/>
      </w:pPr>
      <w:r>
        <w:rPr>
          <w:rFonts w:ascii="Arial" w:cs="Arial" w:eastAsia="Arial" w:hAnsi="Arial"/>
          <w:color w:val="1A1A1A"/>
          <w:sz w:val="20"/>
          <w:szCs w:val="20"/>
        </w:rPr>
        <w:t xml:space="preserve">Each partner's outside basis includes their share of partnership liabilities for which they bear economic risk of loss. The express reimbursement waiver in the Guarantee Agreement is the mechanism that establishes this economic risk. Basis protects partners from immediate taxation on distributions used to service the Seller Note and bank debt.</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2000"/>
        <w:gridCol w:w="2860"/>
      </w:tblGrid>
      <w:tr>
        <w:trPr>
          <w:tblHeader/>
        </w:trPr>
        <w:tc>
          <w:tcPr>
            <w:tcW w:type="dxa" w:w="25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Basis Component</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Benito</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Oscar</w:t>
            </w:r>
          </w:p>
        </w:tc>
        <w:tc>
          <w:tcPr>
            <w:tcW w:type="dxa" w:w="28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Mario</w:t>
            </w:r>
          </w:p>
        </w:tc>
      </w:tr>
      <w:tr>
        <w:tc>
          <w:tcPr>
            <w:tcW w:type="dxa" w:w="2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Cash contribution (recommended)</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~$100,000</w:t>
            </w:r>
          </w:p>
        </w:tc>
        <w:tc>
          <w:tcPr>
            <w:tcW w:type="dxa" w:w="28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~$50,000+</w:t>
            </w:r>
          </w:p>
        </w:tc>
      </w:tr>
      <w:tr>
        <w:tc>
          <w:tcPr>
            <w:tcW w:type="dxa" w:w="25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Note guarantee (§752)</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Up to $1,131,667</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Up to $1,131,667</w:t>
            </w:r>
          </w:p>
        </w:tc>
        <w:tc>
          <w:tcPr>
            <w:tcW w:type="dxa" w:w="28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Up to $236,667</w:t>
            </w:r>
          </w:p>
        </w:tc>
      </w:tr>
      <w:tr>
        <w:tc>
          <w:tcPr>
            <w:tcW w:type="dxa" w:w="25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Share of bank debt (§752)</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TBD by CPA</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TBD by CPA</w:t>
            </w:r>
          </w:p>
        </w:tc>
        <w:tc>
          <w:tcPr>
            <w:tcW w:type="dxa" w:w="28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TBD by CPA</w:t>
            </w:r>
          </w:p>
        </w:tc>
      </w:tr>
      <w:tr>
        <w:tc>
          <w:tcPr>
            <w:tcW w:type="dxa" w:w="25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Estimated initial outside basis</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~$1,100,000+</w:t>
            </w:r>
          </w:p>
        </w:tc>
        <w:tc>
          <w:tcPr>
            <w:tcW w:type="dxa" w:w="200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~$1,100,000+</w:t>
            </w:r>
          </w:p>
        </w:tc>
        <w:tc>
          <w:tcPr>
            <w:tcW w:type="dxa" w:w="2860"/>
            <w:tcBorders>
              <w:top w:val="single" w:color="CCCCCC" w:sz="4"/>
              <w:left w:val="single" w:color="CCCCCC" w:sz="4"/>
              <w:bottom w:val="single" w:color="CCCCCC" w:sz="4"/>
              <w:right w:val="single" w:color="CCCCCC" w:sz="4"/>
            </w:tcBorders>
            <w:shd w:fill="D5E8F4" w:val="clear"/>
            <w:tcMar>
              <w:top w:type="dxa" w:w="60"/>
              <w:left w:type="dxa" w:w="120"/>
              <w:bottom w:type="dxa" w:w="60"/>
              <w:right w:type="dxa" w:w="120"/>
            </w:tcMar>
          </w:tcPr>
          <w:p>
            <w:r>
              <w:rPr>
                <w:rFonts w:ascii="Arial" w:cs="Arial" w:eastAsia="Arial" w:hAnsi="Arial"/>
                <w:b/>
                <w:bCs/>
                <w:color w:val="1A1A1A"/>
                <w:sz w:val="19"/>
                <w:szCs w:val="19"/>
              </w:rPr>
              <w:t xml:space="preserve">~$550,000+</w:t>
            </w:r>
          </w:p>
        </w:tc>
      </w:tr>
      <w:tr>
        <w:tc>
          <w:tcPr>
            <w:tcW w:type="dxa" w:w="25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Key condition</w:t>
            </w:r>
          </w:p>
        </w:tc>
        <w:tc>
          <w:tcPr>
            <w:tcW w:type="dxa" w:w="20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Guarantees must be unconditional, reimbursement waived, and lender must be able to pursue directly</w:t>
            </w:r>
          </w:p>
        </w:tc>
        <w:tc>
          <w:tcPr>
            <w:tcW w:type="dxa" w:w="20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Same as Benito</w:t>
            </w:r>
          </w:p>
        </w:tc>
        <w:tc>
          <w:tcPr>
            <w:tcW w:type="dxa" w:w="28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Same — plus: 20% guarantee vs. 51% post-closing equity creates a basis gap. CPA must model independently.</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8.3 IRC §83 — Compensatory Equity Risk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3400"/>
        <w:gridCol w:w="4360"/>
      </w:tblGrid>
      <w:tr>
        <w:trPr>
          <w:tblHeader/>
        </w:trPr>
        <w:tc>
          <w:tcPr>
            <w:tcW w:type="dxa" w:w="16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Risk Level</w:t>
            </w:r>
          </w:p>
        </w:tc>
        <w:tc>
          <w:tcPr>
            <w:tcW w:type="dxa" w:w="34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Scenario</w:t>
            </w:r>
          </w:p>
        </w:tc>
        <w:tc>
          <w:tcPr>
            <w:tcW w:type="dxa" w:w="43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Mitigation Required</w:t>
            </w:r>
          </w:p>
        </w:tc>
      </w:tr>
      <w:tr>
        <w:tc>
          <w:tcPr>
            <w:tcW w:type="dxa" w:w="16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HIGH</w:t>
            </w:r>
          </w:p>
        </w:tc>
        <w:tc>
          <w:tcPr>
            <w:tcW w:type="dxa" w:w="34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Equity with no cash and no enforceable guarantees.</w:t>
            </w:r>
          </w:p>
        </w:tc>
        <w:tc>
          <w:tcPr>
            <w:tcW w:type="dxa" w:w="436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Both cash contribution AND unconditional guarantees with reimbursement waiver required.</w:t>
            </w:r>
          </w:p>
        </w:tc>
      </w:tr>
      <w:tr>
        <w:tc>
          <w:tcPr>
            <w:tcW w:type="dxa" w:w="16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MEDIUM</w:t>
            </w:r>
          </w:p>
        </w:tc>
        <w:tc>
          <w:tcPr>
            <w:tcW w:type="dxa" w:w="34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Guarantees in place but no cash and no valuation memo.</w:t>
            </w:r>
          </w:p>
        </w:tc>
        <w:tc>
          <w:tcPr>
            <w:tcW w:type="dxa" w:w="43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Add minimum cash contribution + CPA valuation memo.</w:t>
            </w:r>
          </w:p>
        </w:tc>
      </w:tr>
      <w:tr>
        <w:tc>
          <w:tcPr>
            <w:tcW w:type="dxa" w:w="16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LOW — TARGET</w:t>
            </w:r>
          </w:p>
        </w:tc>
        <w:tc>
          <w:tcPr>
            <w:tcW w:type="dxa" w:w="34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Cash + unconditional guarantees + valuation memo + OA 'acquisition' language.</w:t>
            </w:r>
          </w:p>
        </w:tc>
        <w:tc>
          <w:tcPr>
            <w:tcW w:type="dxa" w:w="43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This is the target structure. Fully documented at closing.</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8.4 Mario — Special Basis Consideration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2CC" w:val="clear"/>
            <w:tcMar>
              <w:top w:type="dxa" w:w="120"/>
              <w:left w:type="dxa" w:w="180"/>
              <w:bottom w:type="dxa" w:w="120"/>
              <w:right w:type="dxa" w:w="180"/>
            </w:tcMar>
          </w:tcPr>
          <w:p>
            <w:r>
              <w:rPr>
                <w:rFonts w:ascii="Arial" w:cs="Arial" w:eastAsia="Arial" w:hAnsi="Arial"/>
                <w:b w:val="false"/>
                <w:bCs w:val="false"/>
                <w:color w:val="633806"/>
                <w:sz w:val="20"/>
                <w:szCs w:val="20"/>
              </w:rPr>
              <w:t xml:space="preserve">Mario's §752 basis is built on his 20% negotiated guarantee allocation — not on his 51% post-closing equity in either entity. The CPA must independently model Mario's outside basis vs. projected distributions on his 51% equity interest to identify any year in which distributions may exceed basis, creating an unexpected taxable event.</w:t>
            </w:r>
          </w:p>
        </w:tc>
      </w:tr>
    </w:tbl>
    <w:p>
      <w:pPr>
        <w:spacing w:after="0" w:before="80"/>
      </w:pPr>
      <w:r>
        <w:t xml:space="preserve"/>
      </w:r>
    </w:p>
    <w:p>
      <w:pPr>
        <w:pStyle w:val="Heading2"/>
        <w:spacing w:after="100" w:before="280"/>
      </w:pPr>
      <w:r>
        <w:rPr>
          <w:rFonts w:ascii="Arial" w:cs="Arial" w:eastAsia="Arial" w:hAnsi="Arial"/>
          <w:b/>
          <w:bCs/>
          <w:color w:val="1B4F8A"/>
          <w:sz w:val="24"/>
          <w:szCs w:val="24"/>
        </w:rPr>
        <w:t xml:space="preserve">8.5 IRC §754 Election — Optional Step-Up</w:t>
      </w:r>
    </w:p>
    <w:p>
      <w:pPr>
        <w:pStyle w:val="ListParagraph"/>
        <w:numPr>
          <w:ilvl w:val="0"/>
          <w:numId w:val="2"/>
        </w:numPr>
        <w:spacing w:after="40" w:before="40"/>
      </w:pPr>
      <w:r>
        <w:rPr>
          <w:rFonts w:ascii="Arial" w:cs="Arial" w:eastAsia="Arial" w:hAnsi="Arial"/>
          <w:color w:val="1A1A1A"/>
          <w:sz w:val="20"/>
          <w:szCs w:val="20"/>
        </w:rPr>
        <w:t xml:space="preserve">Allows Benito, Oscar, and Mario to obtain a stepped-up inside basis in their share of Company assets.</w:t>
      </w:r>
    </w:p>
    <w:p>
      <w:pPr>
        <w:pStyle w:val="ListParagraph"/>
        <w:numPr>
          <w:ilvl w:val="0"/>
          <w:numId w:val="2"/>
        </w:numPr>
        <w:spacing w:after="40" w:before="40"/>
      </w:pPr>
      <w:r>
        <w:rPr>
          <w:rFonts w:ascii="Arial" w:cs="Arial" w:eastAsia="Arial" w:hAnsi="Arial"/>
          <w:color w:val="1A1A1A"/>
          <w:sz w:val="20"/>
          <w:szCs w:val="20"/>
        </w:rPr>
        <w:t xml:space="preserve">Generates additional depreciation deductions in future years — reducing ongoing taxable income.</w:t>
      </w:r>
    </w:p>
    <w:p>
      <w:pPr>
        <w:pStyle w:val="ListParagraph"/>
        <w:numPr>
          <w:ilvl w:val="0"/>
          <w:numId w:val="2"/>
        </w:numPr>
        <w:spacing w:after="40" w:before="40"/>
      </w:pPr>
      <w:r>
        <w:rPr>
          <w:rFonts w:ascii="Arial" w:cs="Arial" w:eastAsia="Arial" w:hAnsi="Arial"/>
          <w:color w:val="1A1A1A"/>
          <w:sz w:val="20"/>
          <w:szCs w:val="20"/>
        </w:rPr>
        <w:t xml:space="preserve">Permanent election — cannot easily be reversed. Must be analyzed by CPA before closing.</w:t>
      </w:r>
    </w:p>
    <w:p>
      <w:pPr>
        <w:pStyle w:val="ListParagraph"/>
        <w:numPr>
          <w:ilvl w:val="0"/>
          <w:numId w:val="2"/>
        </w:numPr>
        <w:spacing w:after="40" w:before="40"/>
      </w:pPr>
      <w:r>
        <w:rPr>
          <w:rFonts w:ascii="Arial" w:cs="Arial" w:eastAsia="Arial" w:hAnsi="Arial"/>
          <w:color w:val="1A1A1A"/>
          <w:sz w:val="20"/>
          <w:szCs w:val="20"/>
        </w:rPr>
        <w:t xml:space="preserve">Filed with the LLC's first tax return post-closing. Decision must be made before signing.</w:t>
      </w:r>
    </w:p>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9. Minimum Cash Contribution</w:t>
      </w:r>
    </w:p>
    <w:p>
      <w:pPr>
        <w:spacing w:after="60" w:before="60"/>
      </w:pPr>
      <w:r>
        <w:rPr>
          <w:rFonts w:ascii="Arial" w:cs="Arial" w:eastAsia="Arial" w:hAnsi="Arial"/>
          <w:color w:val="1A1A1A"/>
          <w:sz w:val="20"/>
          <w:szCs w:val="20"/>
        </w:rPr>
        <w:t xml:space="preserve">The IRS applies a functional test — does the contribution reflect real economic substance? The following benchmarks reflect established practice in leveraged partnership acquisitions:</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5560"/>
      </w:tblGrid>
      <w:tr>
        <w:trPr>
          <w:tblHeader/>
        </w:trPr>
        <w:tc>
          <w:tcPr>
            <w:tcW w:type="dxa" w:w="18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 of Equity Value</w:t>
            </w:r>
          </w:p>
        </w:tc>
        <w:tc>
          <w:tcPr>
            <w:tcW w:type="dxa" w:w="20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Amount Per Person</w:t>
            </w:r>
          </w:p>
        </w:tc>
        <w:tc>
          <w:tcPr>
            <w:tcW w:type="dxa" w:w="55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Assessment</w:t>
            </w:r>
          </w:p>
        </w:tc>
      </w:tr>
      <w:tr>
        <w:tc>
          <w:tcPr>
            <w:tcW w:type="dxa" w:w="18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Below 3%</w:t>
            </w:r>
          </w:p>
        </w:tc>
        <w:tc>
          <w:tcPr>
            <w:tcW w:type="dxa" w:w="20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Below ~$60,000</w:t>
            </w:r>
          </w:p>
        </w:tc>
        <w:tc>
          <w:tcPr>
            <w:tcW w:type="dxa" w:w="556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color w:val="1A1A1A"/>
                <w:sz w:val="19"/>
                <w:szCs w:val="19"/>
              </w:rPr>
              <w:t xml:space="preserve">COSMETIC — High audit risk. IRS routinely challenges.</w:t>
            </w:r>
          </w:p>
        </w:tc>
      </w:tr>
      <w:tr>
        <w:tc>
          <w:tcPr>
            <w:tcW w:type="dxa" w:w="18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3% – 5%</w:t>
            </w:r>
          </w:p>
        </w:tc>
        <w:tc>
          <w:tcPr>
            <w:tcW w:type="dxa" w:w="200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$60,000 – $100,000</w:t>
            </w:r>
          </w:p>
        </w:tc>
        <w:tc>
          <w:tcPr>
            <w:tcW w:type="dxa" w:w="5560"/>
            <w:tcBorders>
              <w:top w:val="single" w:color="CCCCCC" w:sz="4"/>
              <w:left w:val="single" w:color="CCCCCC" w:sz="4"/>
              <w:bottom w:val="single" w:color="CCCCCC" w:sz="4"/>
              <w:right w:val="single" w:color="CCCCCC" w:sz="4"/>
            </w:tcBorders>
            <w:shd w:fill="FFF2CC" w:val="clear"/>
            <w:tcMar>
              <w:top w:type="dxa" w:w="60"/>
              <w:left w:type="dxa" w:w="120"/>
              <w:bottom w:type="dxa" w:w="60"/>
              <w:right w:type="dxa" w:w="120"/>
            </w:tcMar>
          </w:tcPr>
          <w:p>
            <w:r>
              <w:rPr>
                <w:rFonts w:ascii="Arial" w:cs="Arial" w:eastAsia="Arial" w:hAnsi="Arial"/>
                <w:color w:val="1A1A1A"/>
                <w:sz w:val="19"/>
                <w:szCs w:val="19"/>
              </w:rPr>
              <w:t xml:space="preserve">GRAY ZONE — Defensible only with valuation memo + strong guarantees + clean OA.</w:t>
            </w:r>
          </w:p>
        </w:tc>
      </w:tr>
      <w:tr>
        <w:tc>
          <w:tcPr>
            <w:tcW w:type="dxa" w:w="18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5% – 10%</w:t>
            </w:r>
          </w:p>
        </w:tc>
        <w:tc>
          <w:tcPr>
            <w:tcW w:type="dxa" w:w="20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$100,000 – $200,000</w:t>
            </w:r>
          </w:p>
        </w:tc>
        <w:tc>
          <w:tcPr>
            <w:tcW w:type="dxa" w:w="55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SOLID — Standard for leveraged partner buyouts. Recommended for this transaction.</w:t>
            </w:r>
          </w:p>
        </w:tc>
      </w:tr>
      <w:tr>
        <w:tc>
          <w:tcPr>
            <w:tcW w:type="dxa" w:w="18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Above 10%</w:t>
            </w:r>
          </w:p>
        </w:tc>
        <w:tc>
          <w:tcPr>
            <w:tcW w:type="dxa" w:w="200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Above $200,000</w:t>
            </w:r>
          </w:p>
        </w:tc>
        <w:tc>
          <w:tcPr>
            <w:tcW w:type="dxa" w:w="5560"/>
            <w:tcBorders>
              <w:top w:val="single" w:color="CCCCCC" w:sz="4"/>
              <w:left w:val="single" w:color="CCCCCC" w:sz="4"/>
              <w:bottom w:val="single" w:color="CCCCCC" w:sz="4"/>
              <w:right w:val="single" w:color="CCCCCC" w:sz="4"/>
            </w:tcBorders>
            <w:shd w:fill="E2F0D9" w:val="clear"/>
            <w:tcMar>
              <w:top w:type="dxa" w:w="60"/>
              <w:left w:type="dxa" w:w="120"/>
              <w:bottom w:type="dxa" w:w="60"/>
              <w:right w:type="dxa" w:w="120"/>
            </w:tcMar>
          </w:tcPr>
          <w:p>
            <w:r>
              <w:rPr>
                <w:rFonts w:ascii="Arial" w:cs="Arial" w:eastAsia="Arial" w:hAnsi="Arial"/>
                <w:color w:val="1A1A1A"/>
                <w:sz w:val="19"/>
                <w:szCs w:val="19"/>
              </w:rPr>
              <w:t xml:space="preserve">VERY STRONG — Ends §83 inquiry in most audits. Recommended if no third-party valuation obtained.</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val="false"/>
                <w:bCs w:val="false"/>
                <w:color w:val="0C447C"/>
                <w:sz w:val="20"/>
                <w:szCs w:val="20"/>
              </w:rPr>
              <w:t xml:space="preserve">RECOMMENDATION: Benito and Oscar each contribute a minimum of $100,000 from personal funds at closing. Mario contributes a proportional minimum (~$50,000). All contributions must wire from personal accounts directly to the respective LLC on closing day. No round-trip contributions from Company distributions.</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10. Pre-Closing Checklist</w:t>
      </w:r>
    </w:p>
    <w:p>
      <w:pPr>
        <w:spacing w:after="60" w:before="60"/>
      </w:pPr>
      <w:r>
        <w:rPr>
          <w:rFonts w:ascii="Arial" w:cs="Arial" w:eastAsia="Arial" w:hAnsi="Arial"/>
          <w:color w:val="1A1A1A"/>
          <w:sz w:val="20"/>
          <w:szCs w:val="20"/>
        </w:rPr>
        <w:t xml:space="preserve">All items must be completed at closing in a single step. Phased implementation creates IRS recharacterization risk.</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2800"/>
        <w:gridCol w:w="2280"/>
        <w:gridCol w:w="3800"/>
      </w:tblGrid>
      <w:tr>
        <w:trPr>
          <w:tblHeader/>
        </w:trPr>
        <w:tc>
          <w:tcPr>
            <w:tcW w:type="dxa" w:w="4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w:t>
            </w:r>
          </w:p>
        </w:tc>
        <w:tc>
          <w:tcPr>
            <w:tcW w:type="dxa" w:w="28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Item</w:t>
            </w:r>
          </w:p>
        </w:tc>
        <w:tc>
          <w:tcPr>
            <w:tcW w:type="dxa" w:w="228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Responsible</w:t>
            </w:r>
          </w:p>
        </w:tc>
        <w:tc>
          <w:tcPr>
            <w:tcW w:type="dxa" w:w="38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Critical Notes</w:t>
            </w:r>
          </w:p>
        </w:tc>
      </w:tr>
      <w:tr>
        <w:tc>
          <w:tcPr>
            <w:tcW w:type="dxa" w:w="480"/>
            <w:tcBorders>
              <w:top w:val="single" w:color="CCCCCC" w:sz="4"/>
              <w:left w:val="single" w:color="CCCCCC" w:sz="4"/>
              <w:bottom w:val="single" w:color="CCCCCC" w:sz="4"/>
              <w:right w:val="single" w:color="CCCCCC" w:sz="4"/>
            </w:tcBorders>
            <w:shd w:fill="FCE4D6" w:val="clear"/>
            <w:tcMar>
              <w:top w:type="dxa" w:w="60"/>
              <w:left w:type="dxa" w:w="80"/>
              <w:bottom w:type="dxa" w:w="60"/>
              <w:right w:type="dxa" w:w="80"/>
            </w:tcMar>
          </w:tcPr>
          <w:p>
            <w:pPr>
              <w:jc w:val="center"/>
            </w:pPr>
            <w:r>
              <w:rPr>
                <w:rFonts w:ascii="Arial" w:cs="Arial" w:eastAsia="Arial" w:hAnsi="Arial"/>
                <w:b/>
                <w:bCs/>
                <w:color w:val="791F1F"/>
                <w:sz w:val="19"/>
                <w:szCs w:val="19"/>
              </w:rPr>
              <w:t xml:space="preserve">1</w:t>
            </w:r>
          </w:p>
        </w:tc>
        <w:tc>
          <w:tcPr>
            <w:tcW w:type="dxa" w:w="28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b/>
                <w:bCs/>
                <w:color w:val="791F1F"/>
                <w:sz w:val="19"/>
                <w:szCs w:val="19"/>
              </w:rPr>
              <w:t xml:space="preserve">Business Valuation Memo — PropCo $13.5M + OpCo $4M = $17.5M</w:t>
            </w:r>
          </w:p>
        </w:tc>
        <w:tc>
          <w:tcPr>
            <w:tcW w:type="dxa" w:w="2280"/>
            <w:tcBorders>
              <w:top w:val="single" w:color="CCCCCC" w:sz="4"/>
              <w:left w:val="single" w:color="CCCCCC" w:sz="4"/>
              <w:bottom w:val="single" w:color="CCCCCC" w:sz="4"/>
              <w:right w:val="single" w:color="CCCCCC" w:sz="4"/>
            </w:tcBorders>
            <w:tcMar>
              <w:top w:type="dxa" w:w="60"/>
              <w:left w:type="dxa" w:w="120"/>
              <w:bottom w:type="dxa" w:w="60"/>
              <w:right w:type="dxa" w:w="120"/>
            </w:tcMar>
          </w:tcPr>
          <w:p>
            <w:r>
              <w:rPr>
                <w:rFonts w:ascii="Arial" w:cs="Arial" w:eastAsia="Arial" w:hAnsi="Arial"/>
                <w:color w:val="1A1A1A"/>
                <w:sz w:val="19"/>
                <w:szCs w:val="19"/>
              </w:rPr>
              <w:t xml:space="preserve">CPA / Independent valuator</w:t>
            </w:r>
          </w:p>
        </w:tc>
        <w:tc>
          <w:tcPr>
            <w:tcW w:type="dxa" w:w="3800"/>
            <w:tcBorders>
              <w:top w:val="single" w:color="CCCCCC" w:sz="4"/>
              <w:left w:val="single" w:color="CCCCCC" w:sz="4"/>
              <w:bottom w:val="single" w:color="CCCCCC" w:sz="4"/>
              <w:right w:val="single" w:color="CCCCCC" w:sz="4"/>
            </w:tcBorders>
            <w:tcMar>
              <w:top w:type="dxa" w:w="60"/>
              <w:left w:type="dxa" w:w="120"/>
              <w:bottom w:type="dxa" w:w="60"/>
              <w:right w:type="dxa" w:w="120"/>
            </w:tcMar>
          </w:tcPr>
          <w:p>
            <w:r>
              <w:rPr>
                <w:rFonts w:ascii="Arial" w:cs="Arial" w:eastAsia="Arial" w:hAnsi="Arial"/>
                <w:i/>
                <w:iCs/>
                <w:color w:val="595959"/>
                <w:sz w:val="18"/>
                <w:szCs w:val="18"/>
              </w:rPr>
              <w:t xml:space="preserve">CRITICAL — Required before any other document is signed. Must value each entity separately.</w:t>
            </w:r>
          </w:p>
        </w:tc>
      </w:tr>
      <w:tr>
        <w:tc>
          <w:tcPr>
            <w:tcW w:type="dxa" w:w="480"/>
            <w:tcBorders>
              <w:top w:val="single" w:color="CCCCCC" w:sz="4"/>
              <w:left w:val="single" w:color="CCCCCC" w:sz="4"/>
              <w:bottom w:val="single" w:color="CCCCCC" w:sz="4"/>
              <w:right w:val="single" w:color="CCCCCC" w:sz="4"/>
            </w:tcBorders>
            <w:shd w:fill="FCE4D6" w:val="clear"/>
            <w:tcMar>
              <w:top w:type="dxa" w:w="60"/>
              <w:left w:type="dxa" w:w="80"/>
              <w:bottom w:type="dxa" w:w="60"/>
              <w:right w:type="dxa" w:w="80"/>
            </w:tcMar>
          </w:tcPr>
          <w:p>
            <w:pPr>
              <w:jc w:val="center"/>
            </w:pPr>
            <w:r>
              <w:rPr>
                <w:rFonts w:ascii="Arial" w:cs="Arial" w:eastAsia="Arial" w:hAnsi="Arial"/>
                <w:b/>
                <w:bCs/>
                <w:color w:val="791F1F"/>
                <w:sz w:val="19"/>
                <w:szCs w:val="19"/>
              </w:rPr>
              <w:t xml:space="preserve">2</w:t>
            </w:r>
          </w:p>
        </w:tc>
        <w:tc>
          <w:tcPr>
            <w:tcW w:type="dxa" w:w="2800"/>
            <w:tcBorders>
              <w:top w:val="single" w:color="CCCCCC" w:sz="4"/>
              <w:left w:val="single" w:color="CCCCCC" w:sz="4"/>
              <w:bottom w:val="single" w:color="CCCCCC" w:sz="4"/>
              <w:right w:val="single" w:color="CCCCCC" w:sz="4"/>
            </w:tcBorders>
            <w:shd w:fill="FCE4D6" w:val="clear"/>
            <w:tcMar>
              <w:top w:type="dxa" w:w="60"/>
              <w:left w:type="dxa" w:w="120"/>
              <w:bottom w:type="dxa" w:w="60"/>
              <w:right w:type="dxa" w:w="120"/>
            </w:tcMar>
          </w:tcPr>
          <w:p>
            <w:r>
              <w:rPr>
                <w:rFonts w:ascii="Arial" w:cs="Arial" w:eastAsia="Arial" w:hAnsi="Arial"/>
                <w:b/>
                <w:bCs/>
                <w:color w:val="791F1F"/>
                <w:sz w:val="19"/>
                <w:szCs w:val="19"/>
              </w:rPr>
              <w:t xml:space="preserve">Cash contributions — Benito $100K+, Oscar $100K+, Mario $50K+</w:t>
            </w:r>
          </w:p>
        </w:tc>
        <w:tc>
          <w:tcPr>
            <w:tcW w:type="dxa" w:w="2280"/>
            <w:tcBorders>
              <w:top w:val="single" w:color="CCCCCC" w:sz="4"/>
              <w:left w:val="single" w:color="CCCCCC" w:sz="4"/>
              <w:bottom w:val="single" w:color="CCCCCC" w:sz="4"/>
              <w:right w:val="single" w:color="CCCCCC" w:sz="4"/>
            </w:tcBorders>
            <w:tcMar>
              <w:top w:type="dxa" w:w="60"/>
              <w:left w:type="dxa" w:w="120"/>
              <w:bottom w:type="dxa" w:w="60"/>
              <w:right w:type="dxa" w:w="120"/>
            </w:tcMar>
          </w:tcPr>
          <w:p>
            <w:r>
              <w:rPr>
                <w:rFonts w:ascii="Arial" w:cs="Arial" w:eastAsia="Arial" w:hAnsi="Arial"/>
                <w:color w:val="1A1A1A"/>
                <w:sz w:val="19"/>
                <w:szCs w:val="19"/>
              </w:rPr>
              <w:t xml:space="preserve">Benito / Oscar / Mario (personal wire)</w:t>
            </w:r>
          </w:p>
        </w:tc>
        <w:tc>
          <w:tcPr>
            <w:tcW w:type="dxa" w:w="3800"/>
            <w:tcBorders>
              <w:top w:val="single" w:color="CCCCCC" w:sz="4"/>
              <w:left w:val="single" w:color="CCCCCC" w:sz="4"/>
              <w:bottom w:val="single" w:color="CCCCCC" w:sz="4"/>
              <w:right w:val="single" w:color="CCCCCC" w:sz="4"/>
            </w:tcBorders>
            <w:tcMar>
              <w:top w:type="dxa" w:w="60"/>
              <w:left w:type="dxa" w:w="120"/>
              <w:bottom w:type="dxa" w:w="60"/>
              <w:right w:type="dxa" w:w="120"/>
            </w:tcMar>
          </w:tcPr>
          <w:p>
            <w:r>
              <w:rPr>
                <w:rFonts w:ascii="Arial" w:cs="Arial" w:eastAsia="Arial" w:hAnsi="Arial"/>
                <w:i/>
                <w:iCs/>
                <w:color w:val="595959"/>
                <w:sz w:val="18"/>
                <w:szCs w:val="18"/>
              </w:rPr>
              <w:t xml:space="preserve">Must wire from personal accounts. No round-trips from Company distributions.</w:t>
            </w:r>
          </w:p>
        </w:tc>
      </w:tr>
      <w:tr>
        <w:tc>
          <w:tcPr>
            <w:tcW w:type="dxa" w:w="4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3</w:t>
            </w:r>
          </w:p>
        </w:tc>
        <w:tc>
          <w:tcPr>
            <w:tcW w:type="dxa" w:w="2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Amended &amp; Restated OA — PropCo (reflects 51/24.5/24.5 post-closing)</w:t>
            </w:r>
          </w:p>
        </w:tc>
        <w:tc>
          <w:tcPr>
            <w:tcW w:type="dxa" w:w="22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Waterfall Sec.[X].2, Sec.[X].6 recourse obligations, exit restriction, 'acquisition' language.</w:t>
            </w:r>
          </w:p>
        </w:tc>
      </w:tr>
      <w:tr>
        <w:tc>
          <w:tcPr>
            <w:tcW w:type="dxa" w:w="4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w:t>
            </w:r>
          </w:p>
        </w:tc>
        <w:tc>
          <w:tcPr>
            <w:tcW w:type="dxa" w:w="2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Amended &amp; Restated OA — OpCo (reflects 51/24.5/24.5 post-closing)</w:t>
            </w:r>
          </w:p>
        </w:tc>
        <w:tc>
          <w:tcPr>
            <w:tcW w:type="dxa" w:w="22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Same waterfall provisions as PropCo OA. Both OAs must be consistent and cross-referenced.</w:t>
            </w:r>
          </w:p>
        </w:tc>
      </w:tr>
      <w:tr>
        <w:tc>
          <w:tcPr>
            <w:tcW w:type="dxa" w:w="4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5</w:t>
            </w:r>
          </w:p>
        </w:tc>
        <w:tc>
          <w:tcPr>
            <w:tcW w:type="dxa" w:w="2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Limited Personal Guarantee Agreement — Benito 40% / Oscar 40% / Mario 20%</w:t>
            </w:r>
          </w:p>
        </w:tc>
        <w:tc>
          <w:tcPr>
            <w:tcW w:type="dxa" w:w="22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Must state allocation is negotiated (not formula-derived). Several only. Reimbursement waiver with §752 reference. Auto-reduction clause.</w:t>
            </w:r>
          </w:p>
        </w:tc>
      </w:tr>
      <w:tr>
        <w:tc>
          <w:tcPr>
            <w:tcW w:type="dxa" w:w="4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6</w:t>
            </w:r>
          </w:p>
        </w:tc>
        <w:tc>
          <w:tcPr>
            <w:tcW w:type="dxa" w:w="2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Seller Note — $2.5M, 4%, 15yr</w:t>
            </w:r>
          </w:p>
        </w:tc>
        <w:tc>
          <w:tcPr>
            <w:tcW w:type="dxa" w:w="22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Confirm AFR at closing date. Second lien on real estate. Anti-flip and prepayment provisions per Term Sheet.</w:t>
            </w:r>
          </w:p>
        </w:tc>
      </w:tr>
      <w:tr>
        <w:tc>
          <w:tcPr>
            <w:tcW w:type="dxa" w:w="4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w:t>
            </w:r>
          </w:p>
        </w:tc>
        <w:tc>
          <w:tcPr>
            <w:tcW w:type="dxa" w:w="2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Equity transfer documentation — PropCo (outgoing 50% → Mario 1%, Benito 24.5%, Oscar 24.5%)</w:t>
            </w:r>
          </w:p>
        </w:tc>
        <w:tc>
          <w:tcPr>
            <w:tcW w:type="dxa" w:w="22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Assignment of membership interests. Must reflect exact percentages per Section 2.1.</w:t>
            </w:r>
          </w:p>
        </w:tc>
      </w:tr>
      <w:tr>
        <w:tc>
          <w:tcPr>
            <w:tcW w:type="dxa" w:w="4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8</w:t>
            </w:r>
          </w:p>
        </w:tc>
        <w:tc>
          <w:tcPr>
            <w:tcW w:type="dxa" w:w="2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Equity transfer documentation — OpCo (outgoing 75% → Mario 26%, Benito 24.5%, Oscar 24.5%)</w:t>
            </w:r>
          </w:p>
        </w:tc>
        <w:tc>
          <w:tcPr>
            <w:tcW w:type="dxa" w:w="22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Attorney</w:t>
            </w:r>
          </w:p>
        </w:tc>
        <w:tc>
          <w:tcPr>
            <w:tcW w:type="dxa" w:w="3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Assignment of membership interests. Must reflect exact percentages per Section 2.2.</w:t>
            </w:r>
          </w:p>
        </w:tc>
      </w:tr>
      <w:tr>
        <w:tc>
          <w:tcPr>
            <w:tcW w:type="dxa" w:w="4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9</w:t>
            </w:r>
          </w:p>
        </w:tc>
        <w:tc>
          <w:tcPr>
            <w:tcW w:type="dxa" w:w="2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Pre-closing distributions $500K + Lydia loan-back $200K</w:t>
            </w:r>
          </w:p>
        </w:tc>
        <w:tc>
          <w:tcPr>
            <w:tcW w:type="dxa" w:w="22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Attorney / CPA</w:t>
            </w:r>
          </w:p>
        </w:tc>
        <w:tc>
          <w:tcPr>
            <w:tcW w:type="dxa" w:w="3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Process before closing. Lydia loan-back requires promissory note (non-interest, 1yr). Exclude from Year 1 ECF sweep.</w:t>
            </w:r>
          </w:p>
        </w:tc>
      </w:tr>
      <w:tr>
        <w:tc>
          <w:tcPr>
            <w:tcW w:type="dxa" w:w="4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10</w:t>
            </w:r>
          </w:p>
        </w:tc>
        <w:tc>
          <w:tcPr>
            <w:tcW w:type="dxa" w:w="2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§754 Election decision</w:t>
            </w:r>
          </w:p>
        </w:tc>
        <w:tc>
          <w:tcPr>
            <w:tcW w:type="dxa" w:w="22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CPA</w:t>
            </w:r>
          </w:p>
        </w:tc>
        <w:tc>
          <w:tcPr>
            <w:tcW w:type="dxa" w:w="3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Analyze PropCo and OpCo asset mix separately. Permanent election — decide before signing.</w:t>
            </w:r>
          </w:p>
        </w:tc>
      </w:tr>
      <w:tr>
        <w:tc>
          <w:tcPr>
            <w:tcW w:type="dxa" w:w="4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11</w:t>
            </w:r>
          </w:p>
        </w:tc>
        <w:tc>
          <w:tcPr>
            <w:tcW w:type="dxa" w:w="2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AFR confirmation at closing date</w:t>
            </w:r>
          </w:p>
        </w:tc>
        <w:tc>
          <w:tcPr>
            <w:tcW w:type="dxa" w:w="228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CPA</w:t>
            </w:r>
          </w:p>
        </w:tc>
        <w:tc>
          <w:tcPr>
            <w:tcW w:type="dxa" w:w="38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IRS publishes monthly. Confirm 4.00% Seller Note rate is at or above AFR on closing day.</w:t>
            </w:r>
          </w:p>
        </w:tc>
      </w:tr>
      <w:tr>
        <w:tc>
          <w:tcPr>
            <w:tcW w:type="dxa" w:w="4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12</w:t>
            </w:r>
          </w:p>
        </w:tc>
        <w:tc>
          <w:tcPr>
            <w:tcW w:type="dxa" w:w="2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Senior bank loan closing — $10M @ 6.00% / 25 years</w:t>
            </w:r>
          </w:p>
        </w:tc>
        <w:tc>
          <w:tcPr>
            <w:tcW w:type="dxa" w:w="228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Attorney / Bank</w:t>
            </w:r>
          </w:p>
        </w:tc>
        <w:tc>
          <w:tcPr>
            <w:tcW w:type="dxa" w:w="38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Cross-reference intercreditor provisions with Seller Note subordination.</w:t>
            </w:r>
          </w:p>
        </w:tc>
      </w:tr>
    </w:tbl>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11. Key Questions for Legal &amp; Tax Review</w:t>
      </w:r>
    </w:p>
    <w:p>
      <w:pPr>
        <w:pStyle w:val="Heading2"/>
        <w:spacing w:after="100" w:before="280"/>
      </w:pPr>
      <w:r>
        <w:rPr>
          <w:rFonts w:ascii="Arial" w:cs="Arial" w:eastAsia="Arial" w:hAnsi="Arial"/>
          <w:b/>
          <w:bCs/>
          <w:color w:val="1B4F8A"/>
          <w:sz w:val="24"/>
          <w:szCs w:val="24"/>
        </w:rPr>
        <w:t xml:space="preserve">For the Attorney</w:t>
      </w:r>
    </w:p>
    <w:p>
      <w:pPr>
        <w:pStyle w:val="ListParagraph"/>
        <w:numPr>
          <w:ilvl w:val="0"/>
          <w:numId w:val="3"/>
        </w:numPr>
        <w:spacing w:after="40" w:before="40"/>
      </w:pPr>
      <w:r>
        <w:rPr>
          <w:rFonts w:ascii="Arial" w:cs="Arial" w:eastAsia="Arial" w:hAnsi="Arial"/>
          <w:color w:val="1A1A1A"/>
          <w:sz w:val="20"/>
          <w:szCs w:val="20"/>
        </w:rPr>
        <w:t xml:space="preserve">How should the equity transfers in both PropCo and OpCo be documented to ensure treatment as an acquisition for consideration, and not as compensatory transfers subject to ordinary income tax under §83? Should separate transfer documents be used for each entity?</w:t>
      </w:r>
    </w:p>
    <w:p>
      <w:pPr>
        <w:pStyle w:val="ListParagraph"/>
        <w:numPr>
          <w:ilvl w:val="0"/>
          <w:numId w:val="3"/>
        </w:numPr>
        <w:spacing w:after="40" w:before="40"/>
      </w:pPr>
      <w:r>
        <w:rPr>
          <w:rFonts w:ascii="Arial" w:cs="Arial" w:eastAsia="Arial" w:hAnsi="Arial"/>
          <w:color w:val="1A1A1A"/>
          <w:sz w:val="20"/>
          <w:szCs w:val="20"/>
        </w:rPr>
        <w:t xml:space="preserve">The Seller Note guarantee of 40% Benito / 40% Oscar / 20% Mario is a negotiated allocation that does not derive mathematically from any equity formula. What specific language should the Guarantee Agreement include to document this negotiated nature, and how should it be referenced in both OAs?</w:t>
      </w:r>
    </w:p>
    <w:p>
      <w:pPr>
        <w:pStyle w:val="ListParagraph"/>
        <w:numPr>
          <w:ilvl w:val="0"/>
          <w:numId w:val="3"/>
        </w:numPr>
        <w:spacing w:after="40" w:before="40"/>
      </w:pPr>
      <w:r>
        <w:rPr>
          <w:rFonts w:ascii="Arial" w:cs="Arial" w:eastAsia="Arial" w:hAnsi="Arial"/>
          <w:color w:val="1A1A1A"/>
          <w:sz w:val="20"/>
          <w:szCs w:val="20"/>
        </w:rPr>
        <w:t xml:space="preserve">Should the Seller Note be a single instrument at the holding level or separate notes issued by PropCo and OpCo? What are the implications for security, enforcement, and bank subordination?</w:t>
      </w:r>
    </w:p>
    <w:p>
      <w:pPr>
        <w:pStyle w:val="ListParagraph"/>
        <w:numPr>
          <w:ilvl w:val="0"/>
          <w:numId w:val="3"/>
        </w:numPr>
        <w:spacing w:after="40" w:before="40"/>
      </w:pPr>
      <w:r>
        <w:rPr>
          <w:rFonts w:ascii="Arial" w:cs="Arial" w:eastAsia="Arial" w:hAnsi="Arial"/>
          <w:color w:val="1A1A1A"/>
          <w:sz w:val="20"/>
          <w:szCs w:val="20"/>
        </w:rPr>
        <w:t xml:space="preserve">How should the dual-entity distribution waterfall be structured — consolidated or entity-by-entity — to ensure debt service obligations are met and distributions to members are consistent across PropCo and OpCo?</w:t>
      </w:r>
    </w:p>
    <w:p>
      <w:pPr>
        <w:pStyle w:val="ListParagraph"/>
        <w:numPr>
          <w:ilvl w:val="0"/>
          <w:numId w:val="3"/>
        </w:numPr>
        <w:spacing w:after="40" w:before="40"/>
      </w:pPr>
      <w:r>
        <w:rPr>
          <w:rFonts w:ascii="Arial" w:cs="Arial" w:eastAsia="Arial" w:hAnsi="Arial"/>
          <w:color w:val="1A1A1A"/>
          <w:sz w:val="20"/>
          <w:szCs w:val="20"/>
        </w:rPr>
        <w:t xml:space="preserve">Mario acquires only 1% of PropCo but 26% of OpCo. How should this asymmetric acquisition be documented in the equity transfer agreements to avoid any ambiguity about economic rights in each entity?</w:t>
      </w:r>
    </w:p>
    <w:p>
      <w:pPr>
        <w:pStyle w:val="ListParagraph"/>
        <w:numPr>
          <w:ilvl w:val="0"/>
          <w:numId w:val="3"/>
        </w:numPr>
        <w:spacing w:after="40" w:before="40"/>
      </w:pPr>
      <w:r>
        <w:rPr>
          <w:rFonts w:ascii="Arial" w:cs="Arial" w:eastAsia="Arial" w:hAnsi="Arial"/>
          <w:color w:val="1A1A1A"/>
          <w:sz w:val="20"/>
          <w:szCs w:val="20"/>
        </w:rPr>
        <w:t xml:space="preserve">Should the majority partner exit restriction (Mario cannot exit while Seller Note is outstanding) be drafted identically in both the PropCo OA and the OpCo OA, or should it be a standalone cross-entity restriction?</w:t>
      </w:r>
    </w:p>
    <w:p>
      <w:pPr>
        <w:spacing w:after="0" w:before="80"/>
      </w:pPr>
      <w:r>
        <w:t xml:space="preserve"/>
      </w:r>
    </w:p>
    <w:p>
      <w:pPr>
        <w:pStyle w:val="Heading2"/>
        <w:spacing w:after="100" w:before="280"/>
      </w:pPr>
      <w:r>
        <w:rPr>
          <w:rFonts w:ascii="Arial" w:cs="Arial" w:eastAsia="Arial" w:hAnsi="Arial"/>
          <w:b/>
          <w:bCs/>
          <w:color w:val="1B4F8A"/>
          <w:sz w:val="24"/>
          <w:szCs w:val="24"/>
        </w:rPr>
        <w:t xml:space="preserve">For the CPA</w:t>
      </w:r>
    </w:p>
    <w:p>
      <w:pPr>
        <w:pStyle w:val="ListParagraph"/>
        <w:numPr>
          <w:ilvl w:val="0"/>
          <w:numId w:val="3"/>
        </w:numPr>
        <w:spacing w:after="40" w:before="40"/>
      </w:pPr>
      <w:r>
        <w:rPr>
          <w:rFonts w:ascii="Arial" w:cs="Arial" w:eastAsia="Arial" w:hAnsi="Arial"/>
          <w:color w:val="1A1A1A"/>
          <w:sz w:val="20"/>
          <w:szCs w:val="20"/>
        </w:rPr>
        <w:t xml:space="preserve">Does the Leveraged Recapitalization structure properly support the position that no taxable compensation event occurs at closing under §83 and §721 for Benito, Oscar, and Mario across both PropCo and OpCo?</w:t>
      </w:r>
    </w:p>
    <w:p>
      <w:pPr>
        <w:pStyle w:val="ListParagraph"/>
        <w:numPr>
          <w:ilvl w:val="0"/>
          <w:numId w:val="3"/>
        </w:numPr>
        <w:spacing w:after="40" w:before="40"/>
      </w:pPr>
      <w:r>
        <w:rPr>
          <w:rFonts w:ascii="Arial" w:cs="Arial" w:eastAsia="Arial" w:hAnsi="Arial"/>
          <w:color w:val="1A1A1A"/>
          <w:sz w:val="20"/>
          <w:szCs w:val="20"/>
        </w:rPr>
        <w:t xml:space="preserve">How should the $17.5M enterprise value be allocated between PropCo ($13.5M) and OpCo ($4M) for tax purposes? Does this allocation create any §704(c) or §743(b) issues given the different equity percentages acquired in each entity?</w:t>
      </w:r>
    </w:p>
    <w:p>
      <w:pPr>
        <w:pStyle w:val="ListParagraph"/>
        <w:numPr>
          <w:ilvl w:val="0"/>
          <w:numId w:val="3"/>
        </w:numPr>
        <w:spacing w:after="40" w:before="40"/>
      </w:pPr>
      <w:r>
        <w:rPr>
          <w:rFonts w:ascii="Arial" w:cs="Arial" w:eastAsia="Arial" w:hAnsi="Arial"/>
          <w:color w:val="1A1A1A"/>
          <w:sz w:val="20"/>
          <w:szCs w:val="20"/>
        </w:rPr>
        <w:t xml:space="preserve">Please model Mario's outside basis independently: his 20% negotiated guarantee is significantly below his 51% post-closing equity in both entities. In which year do projected distributions to Mario (based on 51% equity) exceed his §752 basis (based on 20% guarantee + cash contribution)? What is the estimated tax exposure?</w:t>
      </w:r>
    </w:p>
    <w:p>
      <w:pPr>
        <w:pStyle w:val="ListParagraph"/>
        <w:numPr>
          <w:ilvl w:val="0"/>
          <w:numId w:val="3"/>
        </w:numPr>
        <w:spacing w:after="40" w:before="40"/>
      </w:pPr>
      <w:r>
        <w:rPr>
          <w:rFonts w:ascii="Arial" w:cs="Arial" w:eastAsia="Arial" w:hAnsi="Arial"/>
          <w:color w:val="1A1A1A"/>
          <w:sz w:val="20"/>
          <w:szCs w:val="20"/>
        </w:rPr>
        <w:t xml:space="preserve">Should a §754 election be made for PropCo, OpCo, or both? Given that PropCo holds significant real estate ($13.5M value), what is the estimated depreciation benefit of a step-up in inside basis for the incoming partners?</w:t>
      </w:r>
    </w:p>
    <w:p>
      <w:pPr>
        <w:pStyle w:val="ListParagraph"/>
        <w:numPr>
          <w:ilvl w:val="0"/>
          <w:numId w:val="3"/>
        </w:numPr>
        <w:spacing w:after="40" w:before="40"/>
      </w:pPr>
      <w:r>
        <w:rPr>
          <w:rFonts w:ascii="Arial" w:cs="Arial" w:eastAsia="Arial" w:hAnsi="Arial"/>
          <w:color w:val="1A1A1A"/>
          <w:sz w:val="20"/>
          <w:szCs w:val="20"/>
        </w:rPr>
        <w:t xml:space="preserve">Please confirm the Applicable Federal Rate (AFR) at the expected closing date to ensure the 4.00% Seller Note rate is compliant and does not trigger imputed interest.</w:t>
      </w:r>
    </w:p>
    <w:p>
      <w:pPr>
        <w:pStyle w:val="ListParagraph"/>
        <w:numPr>
          <w:ilvl w:val="0"/>
          <w:numId w:val="3"/>
        </w:numPr>
        <w:spacing w:after="40" w:before="40"/>
      </w:pPr>
      <w:r>
        <w:rPr>
          <w:rFonts w:ascii="Arial" w:cs="Arial" w:eastAsia="Arial" w:hAnsi="Arial"/>
          <w:color w:val="1A1A1A"/>
          <w:sz w:val="20"/>
          <w:szCs w:val="20"/>
        </w:rPr>
        <w:t xml:space="preserve">In a dual-entity structure where OpCo generates operating cash flow that pays rent/fees to PropCo, how should intercompany transactions be structured to avoid recharacterization as guaranteed payments or disguised sales?</w:t>
      </w:r>
    </w:p>
    <w:p>
      <w:pPr>
        <w:pStyle w:val="ListParagraph"/>
        <w:numPr>
          <w:ilvl w:val="0"/>
          <w:numId w:val="3"/>
        </w:numPr>
        <w:spacing w:after="40" w:before="40"/>
      </w:pPr>
      <w:r>
        <w:rPr>
          <w:rFonts w:ascii="Arial" w:cs="Arial" w:eastAsia="Arial" w:hAnsi="Arial"/>
          <w:color w:val="1A1A1A"/>
          <w:sz w:val="20"/>
          <w:szCs w:val="20"/>
        </w:rPr>
        <w:t xml:space="preserve">Is a formal third-party appraisal required for the PropCo real estate given the $13.5M valuation, or is a CPA desktop valuation memo sufficient for IRS purposes in this related-party transaction?</w:t>
      </w:r>
    </w:p>
    <w:p>
      <w:r>
        <w:br w:type="page"/>
      </w:r>
    </w:p>
    <w:p>
      <w:pPr>
        <w:pStyle w:val="Heading1"/>
        <w:pBdr>
          <w:bottom w:val="single" w:color="1B4F8A" w:sz="8" w:space="4"/>
        </w:pBdr>
        <w:spacing w:after="120" w:before="360"/>
      </w:pPr>
      <w:r>
        <w:rPr>
          <w:rFonts w:ascii="Arial" w:cs="Arial" w:eastAsia="Arial" w:hAnsi="Arial"/>
          <w:b/>
          <w:bCs/>
          <w:color w:val="1B4F8A"/>
          <w:sz w:val="28"/>
          <w:szCs w:val="28"/>
        </w:rPr>
        <w:t xml:space="preserve">12. Risk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100"/>
        <w:gridCol w:w="6060"/>
      </w:tblGrid>
      <w:tr>
        <w:trPr>
          <w:tblHeader/>
        </w:trPr>
        <w:tc>
          <w:tcPr>
            <w:tcW w:type="dxa" w:w="22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Risk</w:t>
            </w:r>
          </w:p>
        </w:tc>
        <w:tc>
          <w:tcPr>
            <w:tcW w:type="dxa" w:w="110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Level</w:t>
            </w:r>
          </w:p>
        </w:tc>
        <w:tc>
          <w:tcPr>
            <w:tcW w:type="dxa" w:w="6060"/>
            <w:tcBorders>
              <w:top w:val="single" w:color="CCCCCC" w:sz="4"/>
              <w:left w:val="single" w:color="CCCCCC" w:sz="4"/>
              <w:bottom w:val="single" w:color="CCCCCC" w:sz="4"/>
              <w:right w:val="single" w:color="CCCCCC" w:sz="4"/>
            </w:tcBorders>
            <w:shd w:fill="1B4F8A" w:val="clear"/>
            <w:tcMar>
              <w:top w:type="dxa" w:w="80"/>
              <w:left w:type="dxa" w:w="120"/>
              <w:bottom w:type="dxa" w:w="80"/>
              <w:right w:type="dxa" w:w="120"/>
            </w:tcMar>
            <w:vAlign w:val="center"/>
          </w:tcPr>
          <w:p>
            <w:pPr>
              <w:jc w:val="center"/>
            </w:pPr>
            <w:r>
              <w:rPr>
                <w:rFonts w:ascii="Arial" w:cs="Arial" w:eastAsia="Arial" w:hAnsi="Arial"/>
                <w:b/>
                <w:bCs/>
                <w:color w:val="FFFFFF"/>
                <w:sz w:val="18"/>
                <w:szCs w:val="18"/>
              </w:rPr>
              <w:t xml:space="preserve">Mitigation</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§83 — Compensatory equity recharacterization</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MEDIUM→LOW</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Cash contribution + unconditional guarantees + valuation memo + OA 'acquisition' language. All four required.</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§752 — Benito / Oscar basis sufficiency</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LOW</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Guarantees with reimbursement waiver properly allocate basis. CPA to confirm.</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§752 — Mario basis gap (20% guarantee vs. 51% equity)</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MEDIUM</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CPA must model independently by year. Critical planning item before closing.</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Negotiated guarantee (40/40/20) documentation</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MEDIUM→LOW</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Guarantee Agreement must explicitly state allocation is negotiated, not formula-derived. Language in Section 4 addresses this.</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Dual-entity complexity (PropCo + OpCo)</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MEDIUM</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Separate OAs, separate equity transfer docs, consistent waterfall provisions, and intercompany transaction structure needed. CPA to advise on §704(c) implications.</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PropCo real estate valuation ($13.5M)</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MEDIUM</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Real estate values are auditable. Formal appraisal strongly recommended given transaction size.</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IRS gift tax — related party pricing</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MEDIUM→LOW</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Separate valuations for PropCo and OpCo eliminates most of this risk.</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AFR — Seller Note imputed interest</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LOW</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4.00% appears within AFR range. Confirm at closing date.</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DSCR covenant breach</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LOW</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2.11x Year 1 DSCR — well above 1.25x threshold.</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Grace period trigger</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LOW-MODERATE</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27% cushion above break-even. 30%+ EBITDA decline needed to trigger.</w:t>
            </w:r>
          </w:p>
        </w:tc>
      </w:tr>
      <w:tr>
        <w:tc>
          <w:tcPr>
            <w:tcW w:type="dxa" w:w="22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Anti-flip exposure (5 years above $17.5M)</w:t>
            </w:r>
          </w:p>
        </w:tc>
        <w:tc>
          <w:tcPr>
            <w:tcW w:type="dxa" w:w="11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WATCH</w:t>
            </w:r>
          </w:p>
        </w:tc>
        <w:tc>
          <w:tcPr>
            <w:tcW w:type="dxa" w:w="606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color w:val="1A1A1A"/>
                <w:sz w:val="19"/>
                <w:szCs w:val="19"/>
              </w:rPr>
              <w:t xml:space="preserve">No near-term exit planned. Terminates on full Note repayment.</w:t>
            </w:r>
          </w:p>
        </w:tc>
      </w:tr>
      <w:tr>
        <w:tc>
          <w:tcPr>
            <w:tcW w:type="dxa" w:w="22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Lydia $200K loan — Year 1 cash drain</w:t>
            </w:r>
          </w:p>
        </w:tc>
        <w:tc>
          <w:tcPr>
            <w:tcW w:type="dxa" w:w="11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LOW</w:t>
            </w:r>
          </w:p>
        </w:tc>
        <w:tc>
          <w:tcPr>
            <w:tcW w:type="dxa" w:w="606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color w:val="1A1A1A"/>
                <w:sz w:val="19"/>
                <w:szCs w:val="19"/>
              </w:rPr>
              <w:t xml:space="preserve">Excluded from Year 1 ECF sweep. Formal promissory note required.</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5E8F4" w:val="clear"/>
            <w:tcMar>
              <w:top w:type="dxa" w:w="120"/>
              <w:left w:type="dxa" w:w="180"/>
              <w:bottom w:type="dxa" w:w="120"/>
              <w:right w:type="dxa" w:w="180"/>
            </w:tcMar>
          </w:tcPr>
          <w:p>
            <w:r>
              <w:rPr>
                <w:rFonts w:ascii="Arial" w:cs="Arial" w:eastAsia="Arial" w:hAnsi="Arial"/>
                <w:b w:val="false"/>
                <w:bCs w:val="false"/>
                <w:color w:val="0C447C"/>
                <w:sz w:val="20"/>
                <w:szCs w:val="20"/>
              </w:rPr>
              <w:t xml:space="preserve">OVERALL ASSESSMENT: This is a well-structured, viable transaction. The 50-year bank amortization at 6.25% provides strong DSCR coverage (2.11x Year 1). The primary execution risks are documentation-based: the dual-entity equity transfer, the negotiated guarantee language, the valuation memos for both entities, and the CPA's independent modeling of Mario's basis gap. All are solvable before closing with proper advisory engagement.</w:t>
            </w:r>
          </w:p>
        </w:tc>
      </w:tr>
    </w:tbl>
    <w:p>
      <w:pPr>
        <w:spacing w:after="0" w:before="100"/>
      </w:pPr>
      <w:r>
        <w:t xml:space="preserve"/>
      </w:r>
    </w:p>
    <w:p>
      <w:pPr>
        <w:spacing w:after="60" w:before="200"/>
        <w:jc w:val="center"/>
      </w:pPr>
      <w:r>
        <w:rPr>
          <w:rFonts w:ascii="Arial" w:cs="Arial" w:eastAsia="Arial" w:hAnsi="Arial"/>
          <w:b/>
          <w:bCs/>
          <w:color w:val="595959"/>
          <w:sz w:val="20"/>
          <w:szCs w:val="20"/>
        </w:rPr>
        <w:t xml:space="preserve">— END OF MEMORANDUM —</w:t>
      </w:r>
    </w:p>
    <w:p>
      <w:pPr>
        <w:spacing w:after="60" w:before="0"/>
        <w:jc w:val="center"/>
      </w:pPr>
      <w:r>
        <w:rPr>
          <w:rFonts w:ascii="Arial" w:cs="Arial" w:eastAsia="Arial" w:hAnsi="Arial"/>
          <w:i/>
          <w:iCs/>
          <w:color w:val="595959"/>
          <w:sz w:val="18"/>
          <w:szCs w:val="18"/>
        </w:rPr>
        <w:t xml:space="preserve">This document is confidential and prepared for discussion purposes only. It does not constitute legal or tax advice. Consult qualified legal counsel and a licensed CPA before executing any transaction.</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r>
      <w:rPr>
        <w:rFonts w:ascii="Arial" w:cs="Arial" w:eastAsia="Arial" w:hAnsi="Arial"/>
        <w:color w:val="595959"/>
        <w:sz w:val="16"/>
        <w:szCs w:val="16"/>
      </w:rPr>
      <w:t xml:space="preserve"> of </w:t>
    </w:r>
    <w:r>
      <w:rPr>
        <w:rFonts w:ascii="Arial" w:cs="Arial" w:eastAsia="Arial" w:hAnsi="Arial"/>
        <w:color w:val="59595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B4F8A" w:sz="6" w:space="4"/>
      </w:pBdr>
    </w:pPr>
    <w:r>
      <w:rPr>
        <w:rFonts w:ascii="Arial" w:cs="Arial" w:eastAsia="Arial" w:hAnsi="Arial"/>
        <w:color w:val="595959"/>
        <w:sz w:val="16"/>
        <w:szCs w:val="16"/>
      </w:rPr>
      <w:t xml:space="preserve">CONFIDENTIAL — Partner Buyout &amp; Leveraged Recapitalization | PropCo + OpCo Dual-Entity Structure   </w:t>
    </w:r>
    <w:r>
      <w:rPr>
        <w:rFonts w:ascii="Arial" w:cs="Arial" w:eastAsia="Arial" w:hAnsi="Arial"/>
        <w:color w:val="595959"/>
        <w:sz w:val="16"/>
        <w:szCs w:val="16"/>
      </w:rPr>
      <w:t xml:space="preserve">April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B4F8A"/>
      <w:sz w:val="28"/>
      <w:szCs w:val="28"/>
    </w:rPr>
  </w:style>
  <w:style w:type="paragraph" w:styleId="Heading2">
    <w:name w:val="Heading 2"/>
    <w:basedOn w:val="Normal"/>
    <w:next w:val="Normal"/>
    <w:qFormat/>
    <w:pPr>
      <w:spacing w:after="100" w:before="280"/>
      <w:outlineLvl w:val="1"/>
    </w:pPr>
    <w:rPr>
      <w:rFonts w:ascii="Arial" w:cs="Arial" w:eastAsia="Arial" w:hAnsi="Arial"/>
      <w:b/>
      <w:bCs/>
      <w:color w:val="1B4F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2026-04-24T02:52:31.825Z</dcterms:created>
  <dcterms:modified xsi:type="dcterms:W3CDTF">2026-04-24T02:52:31.869Z</dcterms:modified>
</cp:coreProperties>
</file>

<file path=docProps/custom.xml><?xml version="1.0" encoding="utf-8"?>
<Properties xmlns="http://schemas.openxmlformats.org/officeDocument/2006/custom-properties" xmlns:vt="http://schemas.openxmlformats.org/officeDocument/2006/docPropsVTypes"/>
</file>